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D6" w:rsidRDefault="000F69D6" w:rsidP="000F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F69D6" w:rsidRPr="00AD6960" w:rsidRDefault="000F69D6" w:rsidP="000F69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6960">
        <w:rPr>
          <w:rFonts w:ascii="Arial" w:hAnsi="Arial" w:cs="Arial"/>
          <w:b/>
          <w:bCs/>
          <w:sz w:val="24"/>
          <w:szCs w:val="24"/>
        </w:rPr>
        <w:t>DISCIPLINARE DI GARA</w:t>
      </w:r>
    </w:p>
    <w:p w:rsidR="000B4EC0" w:rsidRDefault="000B4EC0" w:rsidP="000F69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:rsidR="00AD6960" w:rsidRPr="00AD6960" w:rsidRDefault="00AD6960" w:rsidP="000F69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:rsidR="000F69D6" w:rsidRPr="00AD6960" w:rsidRDefault="000F69D6" w:rsidP="000F69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F1B77">
        <w:rPr>
          <w:rFonts w:ascii="Arial" w:hAnsi="Arial" w:cs="Arial"/>
          <w:b/>
          <w:bCs/>
          <w:sz w:val="20"/>
          <w:szCs w:val="20"/>
        </w:rPr>
        <w:t xml:space="preserve">PROCEDURA </w:t>
      </w:r>
      <w:r w:rsidR="00855762">
        <w:rPr>
          <w:rFonts w:ascii="Arial" w:hAnsi="Arial" w:cs="Arial"/>
          <w:b/>
          <w:bCs/>
          <w:sz w:val="20"/>
          <w:szCs w:val="20"/>
        </w:rPr>
        <w:t>NEGOZIATA</w:t>
      </w:r>
      <w:r w:rsidRPr="00CF1B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175B">
        <w:rPr>
          <w:rFonts w:ascii="Arial" w:hAnsi="Arial" w:cs="Arial"/>
          <w:b/>
          <w:bCs/>
          <w:sz w:val="20"/>
          <w:szCs w:val="20"/>
        </w:rPr>
        <w:t xml:space="preserve">PER L’AFFIDAMENTO DEL SERVIZIO DI </w:t>
      </w:r>
      <w:r w:rsidR="00EE05DB" w:rsidRPr="0097175B">
        <w:rPr>
          <w:rFonts w:ascii="Arial" w:hAnsi="Arial" w:cs="Arial"/>
          <w:b/>
          <w:bCs/>
          <w:sz w:val="20"/>
          <w:szCs w:val="20"/>
        </w:rPr>
        <w:t>ASSISTENZA TECNICA SPECIALISTICA A</w:t>
      </w:r>
      <w:r w:rsidR="00EA6019" w:rsidRPr="0097175B">
        <w:rPr>
          <w:rFonts w:ascii="Arial" w:hAnsi="Arial" w:cs="Arial"/>
          <w:b/>
          <w:bCs/>
          <w:sz w:val="20"/>
          <w:szCs w:val="20"/>
        </w:rPr>
        <w:t xml:space="preserve"> SUPPORTO </w:t>
      </w:r>
      <w:r w:rsidR="00EE05DB" w:rsidRPr="0097175B">
        <w:rPr>
          <w:rFonts w:ascii="Arial" w:hAnsi="Arial" w:cs="Arial"/>
          <w:b/>
          <w:bCs/>
          <w:sz w:val="20"/>
          <w:szCs w:val="20"/>
        </w:rPr>
        <w:t>DE</w:t>
      </w:r>
      <w:r w:rsidR="00EA6019" w:rsidRPr="0097175B">
        <w:rPr>
          <w:rFonts w:ascii="Arial" w:hAnsi="Arial" w:cs="Arial"/>
          <w:b/>
          <w:bCs/>
          <w:sz w:val="20"/>
          <w:szCs w:val="20"/>
        </w:rPr>
        <w:t xml:space="preserve">LLA REDAZIONE </w:t>
      </w:r>
      <w:r w:rsidRPr="0097175B">
        <w:rPr>
          <w:rFonts w:ascii="Arial" w:hAnsi="Arial" w:cs="Arial"/>
          <w:b/>
          <w:bCs/>
          <w:sz w:val="20"/>
          <w:szCs w:val="20"/>
        </w:rPr>
        <w:t>DEL PIANO URBANO</w:t>
      </w:r>
      <w:r w:rsidR="00EA6019" w:rsidRPr="009717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175B">
        <w:rPr>
          <w:rFonts w:ascii="Arial" w:hAnsi="Arial" w:cs="Arial"/>
          <w:b/>
          <w:bCs/>
          <w:sz w:val="20"/>
          <w:szCs w:val="20"/>
        </w:rPr>
        <w:t>DELLA MOBILITÀ SOSTENIBILE (PUMS) DE</w:t>
      </w:r>
      <w:r w:rsidR="00EE05DB" w:rsidRPr="0097175B">
        <w:rPr>
          <w:rFonts w:ascii="Arial" w:hAnsi="Arial" w:cs="Arial"/>
          <w:b/>
          <w:bCs/>
          <w:sz w:val="20"/>
          <w:szCs w:val="20"/>
        </w:rPr>
        <w:t>I</w:t>
      </w:r>
      <w:r w:rsidRPr="0097175B">
        <w:rPr>
          <w:rFonts w:ascii="Arial" w:hAnsi="Arial" w:cs="Arial"/>
          <w:b/>
          <w:bCs/>
          <w:sz w:val="20"/>
          <w:szCs w:val="20"/>
        </w:rPr>
        <w:t xml:space="preserve"> COMUN</w:t>
      </w:r>
      <w:r w:rsidR="00EE05DB" w:rsidRPr="0097175B">
        <w:rPr>
          <w:rFonts w:ascii="Arial" w:hAnsi="Arial" w:cs="Arial"/>
          <w:b/>
          <w:bCs/>
          <w:sz w:val="20"/>
          <w:szCs w:val="20"/>
        </w:rPr>
        <w:t>I</w:t>
      </w:r>
      <w:r w:rsidRPr="0097175B">
        <w:rPr>
          <w:rFonts w:ascii="Arial" w:hAnsi="Arial" w:cs="Arial"/>
          <w:b/>
          <w:bCs/>
          <w:sz w:val="20"/>
          <w:szCs w:val="20"/>
        </w:rPr>
        <w:t xml:space="preserve"> </w:t>
      </w:r>
      <w:r w:rsidR="00EE05DB" w:rsidRPr="0097175B">
        <w:rPr>
          <w:rFonts w:ascii="Arial" w:hAnsi="Arial" w:cs="Arial"/>
          <w:b/>
          <w:bCs/>
          <w:sz w:val="20"/>
          <w:szCs w:val="20"/>
        </w:rPr>
        <w:t xml:space="preserve">DI </w:t>
      </w:r>
      <w:r w:rsidRPr="0097175B">
        <w:rPr>
          <w:rFonts w:ascii="Arial" w:hAnsi="Arial" w:cs="Arial"/>
          <w:b/>
          <w:bCs/>
          <w:sz w:val="20"/>
          <w:szCs w:val="20"/>
        </w:rPr>
        <w:t>TERNI E NARNI</w:t>
      </w:r>
    </w:p>
    <w:p w:rsidR="000B4EC0" w:rsidRPr="00AD6960" w:rsidRDefault="000B4EC0" w:rsidP="000F69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F69D6" w:rsidRPr="00AD6960" w:rsidRDefault="000F69D6" w:rsidP="000F69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6960">
        <w:rPr>
          <w:rFonts w:ascii="Arial" w:hAnsi="Arial" w:cs="Arial"/>
          <w:b/>
          <w:bCs/>
          <w:sz w:val="20"/>
          <w:szCs w:val="20"/>
        </w:rPr>
        <w:t xml:space="preserve">CUP </w:t>
      </w:r>
      <w:r w:rsidR="00F13531">
        <w:rPr>
          <w:rFonts w:ascii="Arial" w:hAnsi="Arial" w:cs="Arial"/>
          <w:b/>
          <w:bCs/>
          <w:sz w:val="20"/>
          <w:szCs w:val="20"/>
        </w:rPr>
        <w:t>F41E16000400002</w:t>
      </w:r>
      <w:r w:rsidRPr="00AD6960">
        <w:rPr>
          <w:rFonts w:ascii="Arial" w:hAnsi="Arial" w:cs="Arial"/>
          <w:b/>
          <w:bCs/>
          <w:sz w:val="20"/>
          <w:szCs w:val="20"/>
        </w:rPr>
        <w:t xml:space="preserve"> – CIG </w:t>
      </w:r>
      <w:r w:rsidR="00F13531">
        <w:rPr>
          <w:rFonts w:ascii="Arial" w:hAnsi="Arial" w:cs="Arial"/>
          <w:b/>
          <w:bCs/>
          <w:sz w:val="20"/>
          <w:szCs w:val="20"/>
        </w:rPr>
        <w:t>7045826F89</w:t>
      </w:r>
    </w:p>
    <w:p w:rsidR="000B4EC0" w:rsidRDefault="000B4EC0" w:rsidP="000F69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2230FA" w:rsidRDefault="002230FA" w:rsidP="000F69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AD6960" w:rsidRDefault="00AD6960" w:rsidP="000F69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AD6960" w:rsidRPr="005426D4" w:rsidRDefault="00AD6960" w:rsidP="000F69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0F69D6" w:rsidRPr="00AD6960" w:rsidRDefault="000F69D6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D6960">
        <w:rPr>
          <w:rFonts w:ascii="Arial" w:hAnsi="Arial" w:cs="Arial"/>
          <w:bCs/>
          <w:color w:val="000000"/>
          <w:sz w:val="20"/>
          <w:szCs w:val="20"/>
        </w:rPr>
        <w:t xml:space="preserve">Il presente appalto ha per oggetto il servizio </w:t>
      </w:r>
      <w:r w:rsidR="00F7283D" w:rsidRPr="00AD6960">
        <w:rPr>
          <w:rFonts w:ascii="Arial" w:hAnsi="Arial" w:cs="Arial"/>
          <w:bCs/>
          <w:color w:val="000000"/>
          <w:sz w:val="20"/>
          <w:szCs w:val="20"/>
        </w:rPr>
        <w:t>di assistenza tecnica specialistica a supporto della</w:t>
      </w:r>
      <w:r w:rsidR="00EA6019" w:rsidRPr="00AD696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D6960">
        <w:rPr>
          <w:rFonts w:ascii="Arial" w:hAnsi="Arial" w:cs="Arial"/>
          <w:bCs/>
          <w:color w:val="000000"/>
          <w:sz w:val="20"/>
          <w:szCs w:val="20"/>
        </w:rPr>
        <w:t>redazione del Piano Urbano della Mobilità Sostenibile (PUM</w:t>
      </w:r>
      <w:r w:rsidR="00EE05DB" w:rsidRPr="00AD6960">
        <w:rPr>
          <w:rFonts w:ascii="Arial" w:hAnsi="Arial" w:cs="Arial"/>
          <w:bCs/>
          <w:color w:val="000000"/>
          <w:sz w:val="20"/>
          <w:szCs w:val="20"/>
        </w:rPr>
        <w:t>S) dei</w:t>
      </w:r>
      <w:r w:rsidR="00EA6019" w:rsidRPr="00AD6960">
        <w:rPr>
          <w:rFonts w:ascii="Arial" w:hAnsi="Arial" w:cs="Arial"/>
          <w:bCs/>
          <w:color w:val="000000"/>
          <w:sz w:val="20"/>
          <w:szCs w:val="20"/>
        </w:rPr>
        <w:t xml:space="preserve"> Comun</w:t>
      </w:r>
      <w:r w:rsidR="00EE05DB" w:rsidRPr="00AD6960">
        <w:rPr>
          <w:rFonts w:ascii="Arial" w:hAnsi="Arial" w:cs="Arial"/>
          <w:bCs/>
          <w:color w:val="000000"/>
          <w:sz w:val="20"/>
          <w:szCs w:val="20"/>
        </w:rPr>
        <w:t>i</w:t>
      </w:r>
      <w:r w:rsidR="00EA6019" w:rsidRPr="00AD6960">
        <w:rPr>
          <w:rFonts w:ascii="Arial" w:hAnsi="Arial" w:cs="Arial"/>
          <w:bCs/>
          <w:color w:val="000000"/>
          <w:sz w:val="20"/>
          <w:szCs w:val="20"/>
        </w:rPr>
        <w:t xml:space="preserve"> di Terni e </w:t>
      </w:r>
      <w:r w:rsidR="00EE05DB" w:rsidRPr="00AD6960">
        <w:rPr>
          <w:rFonts w:ascii="Arial" w:hAnsi="Arial" w:cs="Arial"/>
          <w:bCs/>
          <w:color w:val="000000"/>
          <w:sz w:val="20"/>
          <w:szCs w:val="20"/>
        </w:rPr>
        <w:t xml:space="preserve">di </w:t>
      </w:r>
      <w:r w:rsidR="00F7283D" w:rsidRPr="00AD6960">
        <w:rPr>
          <w:rFonts w:ascii="Arial" w:hAnsi="Arial" w:cs="Arial"/>
          <w:bCs/>
          <w:color w:val="000000"/>
          <w:sz w:val="20"/>
          <w:szCs w:val="20"/>
        </w:rPr>
        <w:t>Narni (CPV  71356400-2  Servizi di pianificazione tecnica).</w:t>
      </w:r>
    </w:p>
    <w:p w:rsidR="000F69D6" w:rsidRPr="00AD6960" w:rsidRDefault="000F69D6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D6960">
        <w:rPr>
          <w:rFonts w:ascii="Arial" w:hAnsi="Arial" w:cs="Arial"/>
          <w:bCs/>
          <w:color w:val="000000"/>
          <w:sz w:val="20"/>
          <w:szCs w:val="20"/>
        </w:rPr>
        <w:t>L’appalto sarà affidato mediante</w:t>
      </w:r>
      <w:r w:rsidRPr="00CF1B7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E05DB" w:rsidRPr="00CF1B77">
        <w:rPr>
          <w:rFonts w:ascii="Arial" w:hAnsi="Arial" w:cs="Arial"/>
          <w:bCs/>
          <w:color w:val="000000"/>
          <w:sz w:val="20"/>
          <w:szCs w:val="20"/>
        </w:rPr>
        <w:t xml:space="preserve">procedura </w:t>
      </w:r>
      <w:r w:rsidR="00855762">
        <w:rPr>
          <w:rFonts w:ascii="Arial" w:hAnsi="Arial" w:cs="Arial"/>
          <w:bCs/>
          <w:color w:val="000000"/>
          <w:sz w:val="20"/>
          <w:szCs w:val="20"/>
        </w:rPr>
        <w:t>negoziata</w:t>
      </w:r>
      <w:r w:rsidR="00AD6960">
        <w:rPr>
          <w:rFonts w:ascii="Arial" w:hAnsi="Arial" w:cs="Arial"/>
          <w:color w:val="002060"/>
          <w:sz w:val="20"/>
          <w:szCs w:val="20"/>
        </w:rPr>
        <w:t xml:space="preserve"> </w:t>
      </w:r>
      <w:r w:rsidR="00EE05DB" w:rsidRPr="00AD6960">
        <w:rPr>
          <w:rFonts w:ascii="Arial" w:hAnsi="Arial" w:cs="Arial"/>
          <w:bCs/>
          <w:color w:val="000000"/>
          <w:sz w:val="20"/>
          <w:szCs w:val="20"/>
        </w:rPr>
        <w:t>ai sensi dell’</w:t>
      </w:r>
      <w:r w:rsidRPr="00AD6960">
        <w:rPr>
          <w:rFonts w:ascii="Arial" w:hAnsi="Arial" w:cs="Arial"/>
          <w:bCs/>
          <w:color w:val="000000"/>
          <w:sz w:val="20"/>
          <w:szCs w:val="20"/>
        </w:rPr>
        <w:t xml:space="preserve">art. </w:t>
      </w:r>
      <w:r w:rsidR="00855762">
        <w:rPr>
          <w:rFonts w:ascii="Arial" w:hAnsi="Arial" w:cs="Arial"/>
          <w:bCs/>
          <w:color w:val="000000"/>
          <w:sz w:val="20"/>
          <w:szCs w:val="20"/>
        </w:rPr>
        <w:t>36</w:t>
      </w:r>
      <w:r w:rsidRPr="00AD6960">
        <w:rPr>
          <w:rFonts w:ascii="Arial" w:hAnsi="Arial" w:cs="Arial"/>
          <w:bCs/>
          <w:color w:val="000000"/>
          <w:sz w:val="20"/>
          <w:szCs w:val="20"/>
        </w:rPr>
        <w:t xml:space="preserve"> del Decreto Legislativo 18 aprile 2016,n. 50 e verrà aggiudicato </w:t>
      </w:r>
      <w:r w:rsidR="00F7283D" w:rsidRPr="00AD6960">
        <w:rPr>
          <w:rFonts w:ascii="Arial" w:hAnsi="Arial" w:cs="Arial"/>
          <w:bCs/>
          <w:color w:val="000000"/>
          <w:sz w:val="20"/>
          <w:szCs w:val="20"/>
        </w:rPr>
        <w:t xml:space="preserve">con le modalità dell’art. 95 </w:t>
      </w:r>
      <w:r w:rsidRPr="00AD6960">
        <w:rPr>
          <w:rFonts w:ascii="Arial" w:hAnsi="Arial" w:cs="Arial"/>
          <w:bCs/>
          <w:color w:val="000000"/>
          <w:sz w:val="20"/>
          <w:szCs w:val="20"/>
        </w:rPr>
        <w:t>con il criterio dell’offerta economicamente più vantaggiosa.</w:t>
      </w:r>
    </w:p>
    <w:p w:rsidR="000F69D6" w:rsidRPr="00AD6960" w:rsidRDefault="000F69D6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D6960">
        <w:rPr>
          <w:rFonts w:ascii="Arial" w:hAnsi="Arial" w:cs="Arial"/>
          <w:bCs/>
          <w:color w:val="000000"/>
          <w:sz w:val="20"/>
          <w:szCs w:val="20"/>
        </w:rPr>
        <w:t>La partecipazione alla gara presuppone la perfetta conoscenza e accettazione, da parte degli operatori</w:t>
      </w:r>
      <w:r w:rsidR="00F7283D" w:rsidRPr="00AD696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D6960">
        <w:rPr>
          <w:rFonts w:ascii="Arial" w:hAnsi="Arial" w:cs="Arial"/>
          <w:bCs/>
          <w:color w:val="000000"/>
          <w:sz w:val="20"/>
          <w:szCs w:val="20"/>
        </w:rPr>
        <w:t>economici interessati, di tutte le condizioni contenute nel presente disciplinare, nel capitolato speciale e nel</w:t>
      </w:r>
    </w:p>
    <w:p w:rsidR="000F69D6" w:rsidRPr="00AD6960" w:rsidRDefault="000F69D6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D6960">
        <w:rPr>
          <w:rFonts w:ascii="Arial" w:hAnsi="Arial" w:cs="Arial"/>
          <w:bCs/>
          <w:color w:val="000000"/>
          <w:sz w:val="20"/>
          <w:szCs w:val="20"/>
        </w:rPr>
        <w:t>bando di gara, nonché delle norme di legge e regolamentari in materia.</w:t>
      </w:r>
    </w:p>
    <w:p w:rsidR="006C7DD7" w:rsidRPr="005426D4" w:rsidRDefault="006C7DD7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:rsidR="00AD6960" w:rsidRDefault="00AD6960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69D6" w:rsidRPr="00AD6960" w:rsidRDefault="000F69D6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D6960">
        <w:rPr>
          <w:rFonts w:ascii="Arial" w:hAnsi="Arial" w:cs="Arial"/>
          <w:b/>
          <w:bCs/>
          <w:sz w:val="20"/>
          <w:szCs w:val="20"/>
        </w:rPr>
        <w:t>ART. 1 - OGGETTO</w:t>
      </w:r>
    </w:p>
    <w:p w:rsidR="000F69D6" w:rsidRPr="00AD6960" w:rsidRDefault="000F69D6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 xml:space="preserve">La gara ha per oggetto l’affidamento del servizio di </w:t>
      </w:r>
      <w:r w:rsidR="00F7283D" w:rsidRPr="00AD6960">
        <w:rPr>
          <w:rFonts w:ascii="Arial" w:hAnsi="Arial" w:cs="Arial"/>
          <w:sz w:val="20"/>
          <w:szCs w:val="20"/>
        </w:rPr>
        <w:t>assistenza tecnica specialistica a</w:t>
      </w:r>
      <w:r w:rsidR="00EA6019" w:rsidRPr="00AD6960">
        <w:rPr>
          <w:rFonts w:ascii="Arial" w:hAnsi="Arial" w:cs="Arial"/>
          <w:sz w:val="20"/>
          <w:szCs w:val="20"/>
        </w:rPr>
        <w:t xml:space="preserve"> supporto </w:t>
      </w:r>
      <w:r w:rsidR="00F7283D" w:rsidRPr="00AD6960">
        <w:rPr>
          <w:rFonts w:ascii="Arial" w:hAnsi="Arial" w:cs="Arial"/>
          <w:sz w:val="20"/>
          <w:szCs w:val="20"/>
        </w:rPr>
        <w:t>de</w:t>
      </w:r>
      <w:r w:rsidR="00EA6019" w:rsidRPr="00AD6960">
        <w:rPr>
          <w:rFonts w:ascii="Arial" w:hAnsi="Arial" w:cs="Arial"/>
          <w:sz w:val="20"/>
          <w:szCs w:val="20"/>
        </w:rPr>
        <w:t xml:space="preserve">lla redazione del </w:t>
      </w:r>
      <w:r w:rsidRPr="00AD6960">
        <w:rPr>
          <w:rFonts w:ascii="Arial" w:hAnsi="Arial" w:cs="Arial"/>
          <w:sz w:val="20"/>
          <w:szCs w:val="20"/>
        </w:rPr>
        <w:t>Piano Urbano della Mobilità Sostenibile</w:t>
      </w:r>
      <w:r w:rsidR="00F7283D" w:rsidRPr="00AD6960">
        <w:rPr>
          <w:rFonts w:ascii="Arial" w:hAnsi="Arial" w:cs="Arial"/>
          <w:sz w:val="20"/>
          <w:szCs w:val="20"/>
        </w:rPr>
        <w:t xml:space="preserve"> </w:t>
      </w:r>
      <w:r w:rsidRPr="00AD6960">
        <w:rPr>
          <w:rFonts w:ascii="Arial" w:hAnsi="Arial" w:cs="Arial"/>
          <w:sz w:val="20"/>
          <w:szCs w:val="20"/>
        </w:rPr>
        <w:t>(P</w:t>
      </w:r>
      <w:r w:rsidR="00403CF6" w:rsidRPr="00AD6960">
        <w:rPr>
          <w:rFonts w:ascii="Arial" w:hAnsi="Arial" w:cs="Arial"/>
          <w:sz w:val="20"/>
          <w:szCs w:val="20"/>
        </w:rPr>
        <w:t xml:space="preserve">UMS) </w:t>
      </w:r>
      <w:r w:rsidR="00F7283D" w:rsidRPr="00AD6960">
        <w:rPr>
          <w:rFonts w:ascii="Arial" w:hAnsi="Arial" w:cs="Arial"/>
          <w:sz w:val="20"/>
          <w:szCs w:val="20"/>
        </w:rPr>
        <w:t>dei</w:t>
      </w:r>
      <w:r w:rsidR="00403CF6" w:rsidRPr="00AD6960">
        <w:rPr>
          <w:rFonts w:ascii="Arial" w:hAnsi="Arial" w:cs="Arial"/>
          <w:sz w:val="20"/>
          <w:szCs w:val="20"/>
        </w:rPr>
        <w:t xml:space="preserve"> Comun</w:t>
      </w:r>
      <w:r w:rsidR="00F7283D" w:rsidRPr="00AD6960">
        <w:rPr>
          <w:rFonts w:ascii="Arial" w:hAnsi="Arial" w:cs="Arial"/>
          <w:sz w:val="20"/>
          <w:szCs w:val="20"/>
        </w:rPr>
        <w:t>i</w:t>
      </w:r>
      <w:r w:rsidR="00403CF6" w:rsidRPr="00AD6960">
        <w:rPr>
          <w:rFonts w:ascii="Arial" w:hAnsi="Arial" w:cs="Arial"/>
          <w:sz w:val="20"/>
          <w:szCs w:val="20"/>
        </w:rPr>
        <w:t xml:space="preserve"> di Terni e </w:t>
      </w:r>
      <w:r w:rsidR="00F7283D" w:rsidRPr="00AD6960">
        <w:rPr>
          <w:rFonts w:ascii="Arial" w:hAnsi="Arial" w:cs="Arial"/>
          <w:sz w:val="20"/>
          <w:szCs w:val="20"/>
        </w:rPr>
        <w:t xml:space="preserve">di </w:t>
      </w:r>
      <w:r w:rsidR="00403CF6" w:rsidRPr="00AD6960">
        <w:rPr>
          <w:rFonts w:ascii="Arial" w:hAnsi="Arial" w:cs="Arial"/>
          <w:sz w:val="20"/>
          <w:szCs w:val="20"/>
        </w:rPr>
        <w:t>Na</w:t>
      </w:r>
      <w:r w:rsidRPr="00AD6960">
        <w:rPr>
          <w:rFonts w:ascii="Arial" w:hAnsi="Arial" w:cs="Arial"/>
          <w:sz w:val="20"/>
          <w:szCs w:val="20"/>
        </w:rPr>
        <w:t>rni.</w:t>
      </w:r>
    </w:p>
    <w:p w:rsidR="000F69D6" w:rsidRPr="00AD6960" w:rsidRDefault="000F69D6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 xml:space="preserve">Il servizio ha per oggetto l’espletamento di tutte le prestazioni professionali e le attività necessarie </w:t>
      </w:r>
      <w:r w:rsidR="00EA6019" w:rsidRPr="00AD6960">
        <w:rPr>
          <w:rFonts w:ascii="Arial" w:hAnsi="Arial" w:cs="Arial"/>
          <w:sz w:val="20"/>
          <w:szCs w:val="20"/>
        </w:rPr>
        <w:t xml:space="preserve">per </w:t>
      </w:r>
      <w:r w:rsidR="00F7283D" w:rsidRPr="00AD6960">
        <w:rPr>
          <w:rFonts w:ascii="Arial" w:hAnsi="Arial" w:cs="Arial"/>
          <w:sz w:val="20"/>
          <w:szCs w:val="20"/>
        </w:rPr>
        <w:t xml:space="preserve">l’assistenza tecnica specialistica a supporto della redazione </w:t>
      </w:r>
      <w:r w:rsidR="00EA6019" w:rsidRPr="00AD6960">
        <w:rPr>
          <w:rFonts w:ascii="Arial" w:hAnsi="Arial" w:cs="Arial"/>
          <w:sz w:val="20"/>
          <w:szCs w:val="20"/>
        </w:rPr>
        <w:t xml:space="preserve">del </w:t>
      </w:r>
      <w:r w:rsidRPr="00AD6960">
        <w:rPr>
          <w:rFonts w:ascii="Arial" w:hAnsi="Arial" w:cs="Arial"/>
          <w:sz w:val="20"/>
          <w:szCs w:val="20"/>
        </w:rPr>
        <w:t xml:space="preserve">PUMS </w:t>
      </w:r>
      <w:r w:rsidR="00EA6019" w:rsidRPr="00AD6960">
        <w:rPr>
          <w:rFonts w:ascii="Arial" w:hAnsi="Arial" w:cs="Arial"/>
          <w:sz w:val="20"/>
          <w:szCs w:val="20"/>
        </w:rPr>
        <w:t xml:space="preserve">nelle varie fasi </w:t>
      </w:r>
      <w:r w:rsidR="00FE2AD8" w:rsidRPr="00AD6960">
        <w:rPr>
          <w:rFonts w:ascii="Arial" w:hAnsi="Arial" w:cs="Arial"/>
          <w:sz w:val="20"/>
          <w:szCs w:val="20"/>
        </w:rPr>
        <w:t xml:space="preserve">progettuali fino alla </w:t>
      </w:r>
      <w:r w:rsidRPr="00AD6960">
        <w:rPr>
          <w:rFonts w:ascii="Arial" w:hAnsi="Arial" w:cs="Arial"/>
          <w:sz w:val="20"/>
          <w:szCs w:val="20"/>
        </w:rPr>
        <w:t>sua approvazione</w:t>
      </w:r>
      <w:r w:rsidR="006C7DD7" w:rsidRPr="00AD6960">
        <w:rPr>
          <w:rFonts w:ascii="Arial" w:hAnsi="Arial" w:cs="Arial"/>
          <w:sz w:val="20"/>
          <w:szCs w:val="20"/>
        </w:rPr>
        <w:t xml:space="preserve"> ed attuazione</w:t>
      </w:r>
      <w:r w:rsidRPr="00AD6960">
        <w:rPr>
          <w:rFonts w:ascii="Arial" w:hAnsi="Arial" w:cs="Arial"/>
          <w:sz w:val="20"/>
          <w:szCs w:val="20"/>
        </w:rPr>
        <w:t>.</w:t>
      </w:r>
    </w:p>
    <w:p w:rsidR="000F69D6" w:rsidRPr="00AD6960" w:rsidRDefault="00FE2AD8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>Esse possono essere così riassunte:</w:t>
      </w:r>
    </w:p>
    <w:p w:rsidR="00FE2AD8" w:rsidRPr="00AD6960" w:rsidRDefault="00FE2AD8" w:rsidP="00FE2A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>Analisi dello stato attuale della mobilità</w:t>
      </w:r>
    </w:p>
    <w:p w:rsidR="00FE2AD8" w:rsidRPr="00AD6960" w:rsidRDefault="00FE2AD8" w:rsidP="00FE2A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>Definizione degli scenari</w:t>
      </w:r>
    </w:p>
    <w:p w:rsidR="00FE2AD8" w:rsidRPr="00AD6960" w:rsidRDefault="00FE2AD8" w:rsidP="00FE2A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>Gestione della fase partecipativa</w:t>
      </w:r>
    </w:p>
    <w:p w:rsidR="00FE2AD8" w:rsidRPr="00AD6960" w:rsidRDefault="00FE2AD8" w:rsidP="00FE2A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>Supporto all’elaborazione del Piano</w:t>
      </w:r>
      <w:r w:rsidR="006C7DD7" w:rsidRPr="00AD6960">
        <w:rPr>
          <w:rFonts w:ascii="Arial" w:hAnsi="Arial" w:cs="Arial"/>
          <w:sz w:val="20"/>
          <w:szCs w:val="20"/>
        </w:rPr>
        <w:t xml:space="preserve"> e della VAS</w:t>
      </w:r>
    </w:p>
    <w:p w:rsidR="00FE2AD8" w:rsidRPr="00AD6960" w:rsidRDefault="00F7283D" w:rsidP="00FE2A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>V</w:t>
      </w:r>
      <w:r w:rsidR="00FE2AD8" w:rsidRPr="00AD6960">
        <w:rPr>
          <w:rFonts w:ascii="Arial" w:hAnsi="Arial" w:cs="Arial"/>
          <w:sz w:val="20"/>
          <w:szCs w:val="20"/>
        </w:rPr>
        <w:t xml:space="preserve">alutazione degli scenari </w:t>
      </w:r>
      <w:r w:rsidR="00053BA1" w:rsidRPr="00AD6960">
        <w:rPr>
          <w:rFonts w:ascii="Arial" w:hAnsi="Arial" w:cs="Arial"/>
          <w:sz w:val="20"/>
          <w:szCs w:val="20"/>
        </w:rPr>
        <w:t>ed individuazione della strategia di Piano.</w:t>
      </w:r>
    </w:p>
    <w:p w:rsidR="00053BA1" w:rsidRPr="00AD6960" w:rsidRDefault="00FE2AD8" w:rsidP="00FE2A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 xml:space="preserve">Supporto alla gestione </w:t>
      </w:r>
      <w:r w:rsidR="00053BA1" w:rsidRPr="00AD6960">
        <w:rPr>
          <w:rFonts w:ascii="Arial" w:hAnsi="Arial" w:cs="Arial"/>
          <w:sz w:val="20"/>
          <w:szCs w:val="20"/>
        </w:rPr>
        <w:t>della fase attuativa del</w:t>
      </w:r>
      <w:r w:rsidRPr="00AD6960">
        <w:rPr>
          <w:rFonts w:ascii="Arial" w:hAnsi="Arial" w:cs="Arial"/>
          <w:sz w:val="20"/>
          <w:szCs w:val="20"/>
        </w:rPr>
        <w:t xml:space="preserve"> Piano</w:t>
      </w:r>
      <w:r w:rsidR="006C7DD7" w:rsidRPr="00AD6960">
        <w:rPr>
          <w:rFonts w:ascii="Arial" w:hAnsi="Arial" w:cs="Arial"/>
          <w:sz w:val="20"/>
          <w:szCs w:val="20"/>
        </w:rPr>
        <w:t xml:space="preserve"> </w:t>
      </w:r>
    </w:p>
    <w:p w:rsidR="00FE2AD8" w:rsidRPr="00AD6960" w:rsidRDefault="00053BA1" w:rsidP="00FE2A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>Monitoraggio</w:t>
      </w:r>
    </w:p>
    <w:p w:rsidR="00FE2AD8" w:rsidRPr="00AD6960" w:rsidRDefault="00FE2AD8" w:rsidP="006C7D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AD6960" w:rsidRDefault="00AD6960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69D6" w:rsidRPr="00AD6960" w:rsidRDefault="000F69D6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D6960">
        <w:rPr>
          <w:rFonts w:ascii="Arial" w:hAnsi="Arial" w:cs="Arial"/>
          <w:b/>
          <w:bCs/>
          <w:sz w:val="20"/>
          <w:szCs w:val="20"/>
        </w:rPr>
        <w:t>ART. 2 – VALORE DELL’APPALTO E IMPORTO A BASE DI GARA</w:t>
      </w:r>
    </w:p>
    <w:p w:rsidR="000F69D6" w:rsidRPr="00AD6960" w:rsidRDefault="000F69D6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 xml:space="preserve">Il valore presunto totale dell’appalto, stimato ai sensi dell’art. 35, comma 4 del </w:t>
      </w:r>
      <w:proofErr w:type="spellStart"/>
      <w:r w:rsidRPr="00AD6960">
        <w:rPr>
          <w:rFonts w:ascii="Arial" w:hAnsi="Arial" w:cs="Arial"/>
          <w:sz w:val="20"/>
          <w:szCs w:val="20"/>
        </w:rPr>
        <w:t>D.Lgs.</w:t>
      </w:r>
      <w:proofErr w:type="spellEnd"/>
      <w:r w:rsidRPr="00AD6960">
        <w:rPr>
          <w:rFonts w:ascii="Arial" w:hAnsi="Arial" w:cs="Arial"/>
          <w:sz w:val="20"/>
          <w:szCs w:val="20"/>
        </w:rPr>
        <w:t xml:space="preserve"> n. 50 /2016, è pari ad €</w:t>
      </w:r>
    </w:p>
    <w:p w:rsidR="00614B61" w:rsidRDefault="0065386F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>4</w:t>
      </w:r>
      <w:r w:rsidR="00857B19" w:rsidRPr="00AD6960">
        <w:rPr>
          <w:rFonts w:ascii="Arial" w:hAnsi="Arial" w:cs="Arial"/>
          <w:sz w:val="20"/>
          <w:szCs w:val="20"/>
        </w:rPr>
        <w:t>5</w:t>
      </w:r>
      <w:r w:rsidR="000F69D6" w:rsidRPr="00AD6960">
        <w:rPr>
          <w:rFonts w:ascii="Arial" w:hAnsi="Arial" w:cs="Arial"/>
          <w:sz w:val="20"/>
          <w:szCs w:val="20"/>
        </w:rPr>
        <w:t xml:space="preserve">.000,00 </w:t>
      </w:r>
      <w:r w:rsidR="00614B61">
        <w:rPr>
          <w:rFonts w:ascii="Arial" w:hAnsi="Arial" w:cs="Arial"/>
          <w:sz w:val="20"/>
          <w:szCs w:val="20"/>
        </w:rPr>
        <w:t xml:space="preserve">compresi </w:t>
      </w:r>
      <w:r w:rsidR="00614B61" w:rsidRPr="00AD6960">
        <w:rPr>
          <w:rFonts w:ascii="Arial" w:hAnsi="Arial" w:cs="Arial"/>
          <w:sz w:val="20"/>
          <w:szCs w:val="20"/>
        </w:rPr>
        <w:t xml:space="preserve">€ 5.000,00 a copertura delle attività connesse al processo partecipativo </w:t>
      </w:r>
      <w:r w:rsidR="000F69D6" w:rsidRPr="00AD6960">
        <w:rPr>
          <w:rFonts w:ascii="Arial" w:hAnsi="Arial" w:cs="Arial"/>
          <w:sz w:val="20"/>
          <w:szCs w:val="20"/>
        </w:rPr>
        <w:t>(</w:t>
      </w:r>
      <w:r w:rsidR="00614B61">
        <w:rPr>
          <w:rFonts w:ascii="Arial" w:hAnsi="Arial" w:cs="Arial"/>
          <w:sz w:val="20"/>
          <w:szCs w:val="20"/>
        </w:rPr>
        <w:t>esclusa</w:t>
      </w:r>
      <w:r w:rsidR="000F69D6" w:rsidRPr="00AD6960">
        <w:rPr>
          <w:rFonts w:ascii="Arial" w:hAnsi="Arial" w:cs="Arial"/>
          <w:sz w:val="20"/>
          <w:szCs w:val="20"/>
        </w:rPr>
        <w:t xml:space="preserve"> IVA nella misura di legge ed oneri previdenziali e assistenziali)</w:t>
      </w:r>
      <w:r w:rsidR="00614B61">
        <w:rPr>
          <w:rFonts w:ascii="Arial" w:hAnsi="Arial" w:cs="Arial"/>
          <w:sz w:val="20"/>
          <w:szCs w:val="20"/>
        </w:rPr>
        <w:t xml:space="preserve"> secondo il seguente quadro:</w:t>
      </w:r>
    </w:p>
    <w:p w:rsidR="00614B61" w:rsidRDefault="00614B61" w:rsidP="00614B61">
      <w:pPr>
        <w:tabs>
          <w:tab w:val="left" w:pos="1701"/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14B61" w:rsidRDefault="00614B61" w:rsidP="00614B61">
      <w:pPr>
        <w:tabs>
          <w:tab w:val="left" w:pos="1701"/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Importo netto</w:t>
      </w:r>
      <w:r>
        <w:rPr>
          <w:rFonts w:ascii="Arial" w:hAnsi="Arial" w:cs="Arial"/>
          <w:sz w:val="20"/>
          <w:szCs w:val="20"/>
        </w:rPr>
        <w:tab/>
        <w:t>€</w:t>
      </w:r>
      <w:r>
        <w:rPr>
          <w:rFonts w:ascii="Arial" w:hAnsi="Arial" w:cs="Arial"/>
          <w:sz w:val="20"/>
          <w:szCs w:val="20"/>
        </w:rPr>
        <w:tab/>
        <w:t>4</w:t>
      </w:r>
      <w:r w:rsidR="0085576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855762">
        <w:rPr>
          <w:rFonts w:ascii="Arial" w:hAnsi="Arial" w:cs="Arial"/>
          <w:sz w:val="20"/>
          <w:szCs w:val="20"/>
        </w:rPr>
        <w:t>348</w:t>
      </w:r>
      <w:r>
        <w:rPr>
          <w:rFonts w:ascii="Arial" w:hAnsi="Arial" w:cs="Arial"/>
          <w:sz w:val="20"/>
          <w:szCs w:val="20"/>
        </w:rPr>
        <w:t>,00</w:t>
      </w:r>
    </w:p>
    <w:p w:rsidR="00614B61" w:rsidRPr="00614B61" w:rsidRDefault="00614B61" w:rsidP="00614B61">
      <w:pPr>
        <w:tabs>
          <w:tab w:val="left" w:pos="1701"/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614B61">
        <w:rPr>
          <w:rFonts w:ascii="Arial" w:hAnsi="Arial" w:cs="Arial"/>
          <w:sz w:val="20"/>
          <w:szCs w:val="20"/>
          <w:u w:val="single"/>
        </w:rPr>
        <w:t>Cassa Naz. Ing e Arch. 4%</w:t>
      </w:r>
      <w:r w:rsidRPr="00614B61">
        <w:rPr>
          <w:rFonts w:ascii="Arial" w:hAnsi="Arial" w:cs="Arial"/>
          <w:sz w:val="20"/>
          <w:szCs w:val="20"/>
          <w:u w:val="single"/>
        </w:rPr>
        <w:tab/>
        <w:t>€</w:t>
      </w:r>
      <w:r w:rsidRPr="00614B61">
        <w:rPr>
          <w:rFonts w:ascii="Arial" w:hAnsi="Arial" w:cs="Arial"/>
          <w:sz w:val="20"/>
          <w:szCs w:val="20"/>
          <w:u w:val="single"/>
        </w:rPr>
        <w:tab/>
        <w:t xml:space="preserve">  1.</w:t>
      </w:r>
      <w:r w:rsidR="00855762">
        <w:rPr>
          <w:rFonts w:ascii="Arial" w:hAnsi="Arial" w:cs="Arial"/>
          <w:sz w:val="20"/>
          <w:szCs w:val="20"/>
          <w:u w:val="single"/>
        </w:rPr>
        <w:t>734</w:t>
      </w:r>
      <w:r w:rsidRPr="00614B61">
        <w:rPr>
          <w:rFonts w:ascii="Arial" w:hAnsi="Arial" w:cs="Arial"/>
          <w:sz w:val="20"/>
          <w:szCs w:val="20"/>
          <w:u w:val="single"/>
        </w:rPr>
        <w:t>,00</w:t>
      </w:r>
    </w:p>
    <w:p w:rsidR="00614B61" w:rsidRDefault="00614B61" w:rsidP="00614B61">
      <w:pPr>
        <w:tabs>
          <w:tab w:val="left" w:pos="1701"/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Sommano</w:t>
      </w:r>
      <w:r>
        <w:rPr>
          <w:rFonts w:ascii="Arial" w:hAnsi="Arial" w:cs="Arial"/>
          <w:sz w:val="20"/>
          <w:szCs w:val="20"/>
        </w:rPr>
        <w:tab/>
        <w:t>€</w:t>
      </w:r>
      <w:r>
        <w:rPr>
          <w:rFonts w:ascii="Arial" w:hAnsi="Arial" w:cs="Arial"/>
          <w:sz w:val="20"/>
          <w:szCs w:val="20"/>
        </w:rPr>
        <w:tab/>
      </w:r>
      <w:r w:rsidR="00855762">
        <w:rPr>
          <w:rFonts w:ascii="Arial" w:hAnsi="Arial" w:cs="Arial"/>
          <w:sz w:val="20"/>
          <w:szCs w:val="20"/>
        </w:rPr>
        <w:t>45.082</w:t>
      </w:r>
      <w:r>
        <w:rPr>
          <w:rFonts w:ascii="Arial" w:hAnsi="Arial" w:cs="Arial"/>
          <w:sz w:val="20"/>
          <w:szCs w:val="20"/>
        </w:rPr>
        <w:t>,00</w:t>
      </w:r>
    </w:p>
    <w:p w:rsidR="00614B61" w:rsidRPr="00614B61" w:rsidRDefault="00614B61" w:rsidP="00614B61">
      <w:pPr>
        <w:tabs>
          <w:tab w:val="left" w:pos="1701"/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614B61">
        <w:rPr>
          <w:rFonts w:ascii="Arial" w:hAnsi="Arial" w:cs="Arial"/>
          <w:sz w:val="20"/>
          <w:szCs w:val="20"/>
          <w:u w:val="single"/>
        </w:rPr>
        <w:t>IVA 22%</w:t>
      </w:r>
      <w:r w:rsidRPr="00614B61">
        <w:rPr>
          <w:rFonts w:ascii="Arial" w:hAnsi="Arial" w:cs="Arial"/>
          <w:sz w:val="20"/>
          <w:szCs w:val="20"/>
          <w:u w:val="single"/>
        </w:rPr>
        <w:tab/>
        <w:t>€</w:t>
      </w:r>
      <w:r w:rsidRPr="00614B61">
        <w:rPr>
          <w:rFonts w:ascii="Arial" w:hAnsi="Arial" w:cs="Arial"/>
          <w:sz w:val="20"/>
          <w:szCs w:val="20"/>
          <w:u w:val="single"/>
        </w:rPr>
        <w:tab/>
      </w:r>
      <w:r w:rsidR="00855762">
        <w:rPr>
          <w:rFonts w:ascii="Arial" w:hAnsi="Arial" w:cs="Arial"/>
          <w:sz w:val="20"/>
          <w:szCs w:val="20"/>
          <w:u w:val="single"/>
        </w:rPr>
        <w:t xml:space="preserve">  9.918</w:t>
      </w:r>
      <w:r w:rsidRPr="00614B61">
        <w:rPr>
          <w:rFonts w:ascii="Arial" w:hAnsi="Arial" w:cs="Arial"/>
          <w:sz w:val="20"/>
          <w:szCs w:val="20"/>
          <w:u w:val="single"/>
        </w:rPr>
        <w:t>,00</w:t>
      </w:r>
    </w:p>
    <w:p w:rsidR="00614B61" w:rsidRDefault="00614B61" w:rsidP="00614B61">
      <w:pPr>
        <w:tabs>
          <w:tab w:val="left" w:pos="1701"/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TOTALE</w:t>
      </w:r>
      <w:r>
        <w:rPr>
          <w:rFonts w:ascii="Arial" w:hAnsi="Arial" w:cs="Arial"/>
          <w:sz w:val="20"/>
          <w:szCs w:val="20"/>
        </w:rPr>
        <w:tab/>
        <w:t>€</w:t>
      </w:r>
      <w:r>
        <w:rPr>
          <w:rFonts w:ascii="Arial" w:hAnsi="Arial" w:cs="Arial"/>
          <w:sz w:val="20"/>
          <w:szCs w:val="20"/>
        </w:rPr>
        <w:tab/>
      </w:r>
      <w:r w:rsidR="00855762">
        <w:rPr>
          <w:rFonts w:ascii="Arial" w:hAnsi="Arial" w:cs="Arial"/>
          <w:sz w:val="20"/>
          <w:szCs w:val="20"/>
        </w:rPr>
        <w:t>55.000</w:t>
      </w:r>
      <w:r>
        <w:rPr>
          <w:rFonts w:ascii="Arial" w:hAnsi="Arial" w:cs="Arial"/>
          <w:sz w:val="20"/>
          <w:szCs w:val="20"/>
        </w:rPr>
        <w:t>,00</w:t>
      </w:r>
    </w:p>
    <w:p w:rsidR="00614B61" w:rsidRDefault="00614B61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69D6" w:rsidRPr="00AD6960" w:rsidRDefault="000F69D6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>Gli oneri della sicurezza sono pari a zero.</w:t>
      </w:r>
    </w:p>
    <w:p w:rsidR="000B4EC0" w:rsidRPr="005426D4" w:rsidRDefault="000B4EC0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:rsidR="00AD6960" w:rsidRDefault="00AD6960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69D6" w:rsidRPr="00AD6960" w:rsidRDefault="000F69D6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D6960">
        <w:rPr>
          <w:rFonts w:ascii="Arial" w:hAnsi="Arial" w:cs="Arial"/>
          <w:b/>
          <w:bCs/>
          <w:sz w:val="20"/>
          <w:szCs w:val="20"/>
        </w:rPr>
        <w:t>ART. 3 – SOGGETTI AMMESSI</w:t>
      </w:r>
    </w:p>
    <w:p w:rsidR="000F69D6" w:rsidRPr="00AD6960" w:rsidRDefault="000F69D6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>Sono ammessi a partecipare alla presente procedura di gara tutti gli operatori economici indicati dall’art. 45</w:t>
      </w:r>
      <w:r w:rsidR="00AD6960" w:rsidRPr="00AD6960">
        <w:rPr>
          <w:rFonts w:ascii="Arial" w:hAnsi="Arial" w:cs="Arial"/>
          <w:sz w:val="20"/>
          <w:szCs w:val="20"/>
        </w:rPr>
        <w:t xml:space="preserve"> </w:t>
      </w:r>
      <w:r w:rsidRPr="00AD6960">
        <w:rPr>
          <w:rFonts w:ascii="Arial" w:hAnsi="Arial" w:cs="Arial"/>
          <w:sz w:val="20"/>
          <w:szCs w:val="20"/>
        </w:rPr>
        <w:t xml:space="preserve">del </w:t>
      </w:r>
      <w:proofErr w:type="spellStart"/>
      <w:r w:rsidRPr="00AD6960">
        <w:rPr>
          <w:rFonts w:ascii="Arial" w:hAnsi="Arial" w:cs="Arial"/>
          <w:sz w:val="20"/>
          <w:szCs w:val="20"/>
        </w:rPr>
        <w:t>D.Lgs.</w:t>
      </w:r>
      <w:proofErr w:type="spellEnd"/>
      <w:r w:rsidRPr="00AD6960">
        <w:rPr>
          <w:rFonts w:ascii="Arial" w:hAnsi="Arial" w:cs="Arial"/>
          <w:sz w:val="20"/>
          <w:szCs w:val="20"/>
        </w:rPr>
        <w:t xml:space="preserve"> 50/2016, che ai sensi dell’art. 3, comma 1, lett. p) del predetto decreto, siano “</w:t>
      </w:r>
      <w:r w:rsidR="00915560" w:rsidRPr="00AD6960">
        <w:rPr>
          <w:rFonts w:ascii="Arial" w:hAnsi="Arial" w:cs="Arial"/>
          <w:sz w:val="20"/>
          <w:szCs w:val="20"/>
        </w:rPr>
        <w:t xml:space="preserve">prestatori </w:t>
      </w:r>
      <w:r w:rsidRPr="00AD6960">
        <w:rPr>
          <w:rFonts w:ascii="Arial" w:hAnsi="Arial" w:cs="Arial"/>
          <w:sz w:val="20"/>
          <w:szCs w:val="20"/>
        </w:rPr>
        <w:t>di servizi”,</w:t>
      </w:r>
      <w:r w:rsidR="00AD6960" w:rsidRPr="00AD6960">
        <w:rPr>
          <w:rFonts w:ascii="Arial" w:hAnsi="Arial" w:cs="Arial"/>
          <w:sz w:val="20"/>
          <w:szCs w:val="20"/>
        </w:rPr>
        <w:t xml:space="preserve"> </w:t>
      </w:r>
      <w:r w:rsidRPr="00AD6960">
        <w:rPr>
          <w:rFonts w:ascii="Arial" w:hAnsi="Arial" w:cs="Arial"/>
          <w:sz w:val="20"/>
          <w:szCs w:val="20"/>
        </w:rPr>
        <w:t xml:space="preserve">sia in forma singola che in raggruppamento temporaneo ai sensi dell’articolo 48 del </w:t>
      </w:r>
      <w:proofErr w:type="spellStart"/>
      <w:r w:rsidRPr="00AD6960">
        <w:rPr>
          <w:rFonts w:ascii="Arial" w:hAnsi="Arial" w:cs="Arial"/>
          <w:sz w:val="20"/>
          <w:szCs w:val="20"/>
        </w:rPr>
        <w:t>D.Lgs.</w:t>
      </w:r>
      <w:proofErr w:type="spellEnd"/>
      <w:r w:rsidRPr="00AD6960">
        <w:rPr>
          <w:rFonts w:ascii="Arial" w:hAnsi="Arial" w:cs="Arial"/>
          <w:sz w:val="20"/>
          <w:szCs w:val="20"/>
        </w:rPr>
        <w:t xml:space="preserve"> n.50/2016, in</w:t>
      </w:r>
      <w:r w:rsidR="00AD6960" w:rsidRPr="00AD6960">
        <w:rPr>
          <w:rFonts w:ascii="Arial" w:hAnsi="Arial" w:cs="Arial"/>
          <w:sz w:val="20"/>
          <w:szCs w:val="20"/>
        </w:rPr>
        <w:t xml:space="preserve"> </w:t>
      </w:r>
      <w:r w:rsidRPr="00AD6960">
        <w:rPr>
          <w:rFonts w:ascii="Arial" w:hAnsi="Arial" w:cs="Arial"/>
          <w:sz w:val="20"/>
          <w:szCs w:val="20"/>
        </w:rPr>
        <w:t>possesso dei requisiti generali e speciali di cui al successivo articolo 4), e che non incorrano nelle cause di</w:t>
      </w:r>
      <w:r w:rsidR="00AD6960" w:rsidRPr="00AD6960">
        <w:rPr>
          <w:rFonts w:ascii="Arial" w:hAnsi="Arial" w:cs="Arial"/>
          <w:sz w:val="20"/>
          <w:szCs w:val="20"/>
        </w:rPr>
        <w:t xml:space="preserve"> </w:t>
      </w:r>
      <w:r w:rsidRPr="00AD6960">
        <w:rPr>
          <w:rFonts w:ascii="Arial" w:hAnsi="Arial" w:cs="Arial"/>
          <w:sz w:val="20"/>
          <w:szCs w:val="20"/>
        </w:rPr>
        <w:t xml:space="preserve">esclusione previste dall’art. 80 del D. </w:t>
      </w:r>
      <w:proofErr w:type="spellStart"/>
      <w:r w:rsidRPr="00AD6960">
        <w:rPr>
          <w:rFonts w:ascii="Arial" w:hAnsi="Arial" w:cs="Arial"/>
          <w:sz w:val="20"/>
          <w:szCs w:val="20"/>
        </w:rPr>
        <w:t>Lgs</w:t>
      </w:r>
      <w:proofErr w:type="spellEnd"/>
      <w:r w:rsidRPr="00AD6960">
        <w:rPr>
          <w:rFonts w:ascii="Arial" w:hAnsi="Arial" w:cs="Arial"/>
          <w:sz w:val="20"/>
          <w:szCs w:val="20"/>
        </w:rPr>
        <w:t>. 50/2016.</w:t>
      </w:r>
    </w:p>
    <w:p w:rsidR="000F69D6" w:rsidRPr="00AD6960" w:rsidRDefault="000F69D6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 xml:space="preserve">Sono altresì ammessi a partecipare, in ragione della specificità del servizio, gli operatori economici per l’affidamento di servizi di architettura e ingegneria di cui all’art. 46 del D. </w:t>
      </w:r>
      <w:proofErr w:type="spellStart"/>
      <w:r w:rsidRPr="00AD6960">
        <w:rPr>
          <w:rFonts w:ascii="Arial" w:hAnsi="Arial" w:cs="Arial"/>
          <w:sz w:val="20"/>
          <w:szCs w:val="20"/>
        </w:rPr>
        <w:t>Lgs</w:t>
      </w:r>
      <w:proofErr w:type="spellEnd"/>
      <w:r w:rsidRPr="00AD6960">
        <w:rPr>
          <w:rFonts w:ascii="Arial" w:hAnsi="Arial" w:cs="Arial"/>
          <w:sz w:val="20"/>
          <w:szCs w:val="20"/>
        </w:rPr>
        <w:t>. 50/2016, in possesso dei</w:t>
      </w:r>
      <w:r w:rsidR="00AD6960" w:rsidRPr="00AD6960">
        <w:rPr>
          <w:rFonts w:ascii="Arial" w:hAnsi="Arial" w:cs="Arial"/>
          <w:sz w:val="20"/>
          <w:szCs w:val="20"/>
        </w:rPr>
        <w:t xml:space="preserve"> </w:t>
      </w:r>
      <w:r w:rsidRPr="00AD6960">
        <w:rPr>
          <w:rFonts w:ascii="Arial" w:hAnsi="Arial" w:cs="Arial"/>
          <w:sz w:val="20"/>
          <w:szCs w:val="20"/>
        </w:rPr>
        <w:t>requisiti generali e speciali di cui al precedente comma.</w:t>
      </w:r>
    </w:p>
    <w:p w:rsidR="000F69D6" w:rsidRPr="00AD6960" w:rsidRDefault="000F69D6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D6960">
        <w:rPr>
          <w:rFonts w:ascii="Arial" w:hAnsi="Arial" w:cs="Arial"/>
          <w:b/>
          <w:bCs/>
          <w:sz w:val="20"/>
          <w:szCs w:val="20"/>
        </w:rPr>
        <w:lastRenderedPageBreak/>
        <w:t>ART. 4 - REQUISITI DI PARTECIPAZIONE</w:t>
      </w:r>
    </w:p>
    <w:p w:rsidR="000F69D6" w:rsidRPr="00AD6960" w:rsidRDefault="000F69D6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>Per la partecipazione alla gara i concorrenti devono essere in possesso dei requisiti di seguito indicati.</w:t>
      </w:r>
    </w:p>
    <w:p w:rsidR="000B4EC0" w:rsidRPr="00AD6960" w:rsidRDefault="000B4EC0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69D6" w:rsidRPr="00AD6960" w:rsidRDefault="000F69D6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>REQUISITI DI ORDINE GENERALE:</w:t>
      </w:r>
    </w:p>
    <w:p w:rsidR="000F69D6" w:rsidRPr="00AD6960" w:rsidRDefault="000F69D6" w:rsidP="000B4EC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>insussistenza delle cause di esclusione previste dall’art. 80, commi 1,2,4 e 5;</w:t>
      </w:r>
    </w:p>
    <w:p w:rsidR="000F69D6" w:rsidRPr="00AD6960" w:rsidRDefault="000F69D6" w:rsidP="000B4EC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>insussistenza delle condizioni di cui all’art. 53, comma 16-ter, del d.lgs. del 2001, n. 165 o di ulteriori divieti a contrattare con la pubblica amministrazione.</w:t>
      </w:r>
    </w:p>
    <w:p w:rsidR="000B4EC0" w:rsidRPr="00AD6960" w:rsidRDefault="000B4EC0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69D6" w:rsidRPr="00AD6960" w:rsidRDefault="000F69D6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>REQUISITI DI IDONEITÀ’ PROFESSIONALE:</w:t>
      </w:r>
    </w:p>
    <w:p w:rsidR="000F69D6" w:rsidRPr="00AD6960" w:rsidRDefault="000F69D6" w:rsidP="000B4E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>(per i soggetti tenuti a detta iscrizione) iscrizione al Registro delle Imprese della C.C.I.A.A. per attività</w:t>
      </w:r>
      <w:r w:rsidR="000B4EC0" w:rsidRPr="00AD6960">
        <w:rPr>
          <w:rFonts w:ascii="Arial" w:hAnsi="Arial" w:cs="Arial"/>
          <w:sz w:val="20"/>
          <w:szCs w:val="20"/>
        </w:rPr>
        <w:t xml:space="preserve"> </w:t>
      </w:r>
      <w:r w:rsidRPr="00AD6960">
        <w:rPr>
          <w:rFonts w:ascii="Arial" w:hAnsi="Arial" w:cs="Arial"/>
          <w:sz w:val="20"/>
          <w:szCs w:val="20"/>
        </w:rPr>
        <w:t>inerenti l’oggetto della gara;</w:t>
      </w:r>
    </w:p>
    <w:p w:rsidR="000F69D6" w:rsidRPr="00AD6960" w:rsidRDefault="000F69D6" w:rsidP="000B4E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>(per i professionisti) iscrizione all’Ordine degli Ingegneri o degli Architetti.</w:t>
      </w:r>
    </w:p>
    <w:p w:rsidR="000B4EC0" w:rsidRPr="00AD6960" w:rsidRDefault="000B4EC0" w:rsidP="00D74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69D6" w:rsidRPr="00AD6960" w:rsidRDefault="000F69D6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>REQUISITI DI CAPACITA’ TECNICO-PROFESSIONALE:</w:t>
      </w:r>
    </w:p>
    <w:p w:rsidR="000F69D6" w:rsidRPr="00AD6960" w:rsidRDefault="000F69D6" w:rsidP="000B4EC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>aver svolto almeno un incarico, concluso positivamente negli ultimi 10 anni, di</w:t>
      </w:r>
      <w:r w:rsidR="000B4EC0" w:rsidRPr="00AD6960">
        <w:rPr>
          <w:rFonts w:ascii="Arial" w:hAnsi="Arial" w:cs="Arial"/>
          <w:sz w:val="20"/>
          <w:szCs w:val="20"/>
        </w:rPr>
        <w:t xml:space="preserve"> </w:t>
      </w:r>
      <w:r w:rsidRPr="00AD6960">
        <w:rPr>
          <w:rFonts w:ascii="Arial" w:hAnsi="Arial" w:cs="Arial"/>
          <w:sz w:val="20"/>
          <w:szCs w:val="20"/>
        </w:rPr>
        <w:t>progettazione/pianificazione settoriale relativa ai temi della mobilità e trasporti (PUT, PUM, PGTU) per</w:t>
      </w:r>
      <w:r w:rsidR="000B4EC0" w:rsidRPr="00AD6960">
        <w:rPr>
          <w:rFonts w:ascii="Arial" w:hAnsi="Arial" w:cs="Arial"/>
          <w:sz w:val="20"/>
          <w:szCs w:val="20"/>
        </w:rPr>
        <w:t xml:space="preserve"> </w:t>
      </w:r>
      <w:r w:rsidRPr="00AD6960">
        <w:rPr>
          <w:rFonts w:ascii="Arial" w:hAnsi="Arial" w:cs="Arial"/>
          <w:sz w:val="20"/>
          <w:szCs w:val="20"/>
        </w:rPr>
        <w:t>Comuni o aggregazioni di Comuni superiori a 100.000 abitanti;</w:t>
      </w:r>
    </w:p>
    <w:p w:rsidR="000F69D6" w:rsidRPr="00AD6960" w:rsidRDefault="000F69D6" w:rsidP="000B4EC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>avere esperienza di analisi di mobilità e utilizzo di sistemi informatici di macro e micro simulazione di</w:t>
      </w:r>
      <w:r w:rsidR="000B4EC0" w:rsidRPr="00AD6960">
        <w:rPr>
          <w:rFonts w:ascii="Arial" w:hAnsi="Arial" w:cs="Arial"/>
          <w:sz w:val="20"/>
          <w:szCs w:val="20"/>
        </w:rPr>
        <w:t xml:space="preserve"> </w:t>
      </w:r>
      <w:r w:rsidRPr="00AD6960">
        <w:rPr>
          <w:rFonts w:ascii="Arial" w:hAnsi="Arial" w:cs="Arial"/>
          <w:sz w:val="20"/>
          <w:szCs w:val="20"/>
        </w:rPr>
        <w:t>scenari progettuali, mediante redazione di almeno uno specifico studio o nell’ambito dell’incarico di cui al</w:t>
      </w:r>
      <w:r w:rsidR="000B4EC0" w:rsidRPr="00AD6960">
        <w:rPr>
          <w:rFonts w:ascii="Arial" w:hAnsi="Arial" w:cs="Arial"/>
          <w:sz w:val="20"/>
          <w:szCs w:val="20"/>
        </w:rPr>
        <w:t xml:space="preserve"> </w:t>
      </w:r>
      <w:r w:rsidRPr="00AD6960">
        <w:rPr>
          <w:rFonts w:ascii="Arial" w:hAnsi="Arial" w:cs="Arial"/>
          <w:sz w:val="20"/>
          <w:szCs w:val="20"/>
        </w:rPr>
        <w:t>punto precedente.</w:t>
      </w:r>
    </w:p>
    <w:p w:rsidR="000B4EC0" w:rsidRPr="00AD6960" w:rsidRDefault="000B4EC0" w:rsidP="000B4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69D6" w:rsidRPr="00AD6960" w:rsidRDefault="000F69D6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>In caso di raggruppamenti temporanei o consorzi, anche tra i soggetti di cui all’art. 45 e quelli indicati all’art.</w:t>
      </w:r>
      <w:r w:rsidR="00AD6960" w:rsidRPr="00AD6960">
        <w:rPr>
          <w:rFonts w:ascii="Arial" w:hAnsi="Arial" w:cs="Arial"/>
          <w:sz w:val="20"/>
          <w:szCs w:val="20"/>
        </w:rPr>
        <w:t xml:space="preserve"> </w:t>
      </w:r>
      <w:r w:rsidRPr="00AD6960">
        <w:rPr>
          <w:rFonts w:ascii="Arial" w:hAnsi="Arial" w:cs="Arial"/>
          <w:sz w:val="20"/>
          <w:szCs w:val="20"/>
        </w:rPr>
        <w:t xml:space="preserve">46 del </w:t>
      </w:r>
      <w:proofErr w:type="spellStart"/>
      <w:r w:rsidRPr="00AD6960">
        <w:rPr>
          <w:rFonts w:ascii="Arial" w:hAnsi="Arial" w:cs="Arial"/>
          <w:sz w:val="20"/>
          <w:szCs w:val="20"/>
        </w:rPr>
        <w:t>D.Lgs.</w:t>
      </w:r>
      <w:proofErr w:type="spellEnd"/>
      <w:r w:rsidRPr="00AD6960">
        <w:rPr>
          <w:rFonts w:ascii="Arial" w:hAnsi="Arial" w:cs="Arial"/>
          <w:sz w:val="20"/>
          <w:szCs w:val="20"/>
        </w:rPr>
        <w:t xml:space="preserve"> n. 50/2016</w:t>
      </w:r>
      <w:r w:rsidRPr="00AD6960">
        <w:rPr>
          <w:rFonts w:ascii="Arial" w:hAnsi="Arial" w:cs="Arial"/>
          <w:bCs/>
          <w:sz w:val="20"/>
          <w:szCs w:val="20"/>
        </w:rPr>
        <w:t>,</w:t>
      </w:r>
      <w:r w:rsidRPr="00AD696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6960">
        <w:rPr>
          <w:rFonts w:ascii="Arial" w:hAnsi="Arial" w:cs="Arial"/>
          <w:sz w:val="20"/>
          <w:szCs w:val="20"/>
        </w:rPr>
        <w:t>i requisiti a</w:t>
      </w:r>
      <w:r w:rsidR="000B4EC0" w:rsidRPr="00AD6960">
        <w:rPr>
          <w:rFonts w:ascii="Arial" w:hAnsi="Arial" w:cs="Arial"/>
          <w:sz w:val="20"/>
          <w:szCs w:val="20"/>
        </w:rPr>
        <w:t>)</w:t>
      </w:r>
      <w:r w:rsidRPr="00AD6960">
        <w:rPr>
          <w:rFonts w:ascii="Arial" w:hAnsi="Arial" w:cs="Arial"/>
          <w:sz w:val="20"/>
          <w:szCs w:val="20"/>
        </w:rPr>
        <w:t xml:space="preserve"> e b</w:t>
      </w:r>
      <w:r w:rsidR="000B4EC0" w:rsidRPr="00AD6960">
        <w:rPr>
          <w:rFonts w:ascii="Arial" w:hAnsi="Arial" w:cs="Arial"/>
          <w:sz w:val="20"/>
          <w:szCs w:val="20"/>
        </w:rPr>
        <w:t>)</w:t>
      </w:r>
      <w:r w:rsidRPr="00AD6960">
        <w:rPr>
          <w:rFonts w:ascii="Arial" w:hAnsi="Arial" w:cs="Arial"/>
          <w:sz w:val="20"/>
          <w:szCs w:val="20"/>
        </w:rPr>
        <w:t xml:space="preserve"> dovranno essere posseduti da</w:t>
      </w:r>
      <w:r w:rsidR="00F23029" w:rsidRPr="00AD6960">
        <w:rPr>
          <w:rFonts w:ascii="Arial" w:hAnsi="Arial" w:cs="Arial"/>
          <w:sz w:val="20"/>
          <w:szCs w:val="20"/>
        </w:rPr>
        <w:t xml:space="preserve"> </w:t>
      </w:r>
      <w:r w:rsidRPr="00AD6960">
        <w:rPr>
          <w:rFonts w:ascii="Arial" w:hAnsi="Arial" w:cs="Arial"/>
          <w:sz w:val="20"/>
          <w:szCs w:val="20"/>
        </w:rPr>
        <w:t>uno qualsiasi dei soggetti facenti parte del</w:t>
      </w:r>
      <w:r w:rsidR="00F23029" w:rsidRPr="00AD6960">
        <w:rPr>
          <w:rFonts w:ascii="Arial" w:hAnsi="Arial" w:cs="Arial"/>
          <w:sz w:val="20"/>
          <w:szCs w:val="20"/>
        </w:rPr>
        <w:t xml:space="preserve"> raggruppamento o del consorzio, il quale dovrà essere </w:t>
      </w:r>
      <w:r w:rsidRPr="00AD6960">
        <w:rPr>
          <w:rFonts w:ascii="Arial" w:hAnsi="Arial" w:cs="Arial"/>
          <w:sz w:val="20"/>
          <w:szCs w:val="20"/>
        </w:rPr>
        <w:t>il mandatario</w:t>
      </w:r>
      <w:r w:rsidR="00F23029" w:rsidRPr="00AD6960">
        <w:rPr>
          <w:rFonts w:ascii="Arial" w:hAnsi="Arial" w:cs="Arial"/>
          <w:sz w:val="20"/>
          <w:szCs w:val="20"/>
        </w:rPr>
        <w:t>.</w:t>
      </w:r>
    </w:p>
    <w:p w:rsidR="000F69D6" w:rsidRPr="00AD6960" w:rsidRDefault="000F69D6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>Ove il servizio sia stato svolto nell’ambito di un operatore economico di natura plurisoggettiva</w:t>
      </w:r>
      <w:r w:rsidR="00116C82" w:rsidRPr="00AD6960">
        <w:rPr>
          <w:rFonts w:ascii="Arial" w:hAnsi="Arial" w:cs="Arial"/>
          <w:sz w:val="20"/>
          <w:szCs w:val="20"/>
        </w:rPr>
        <w:t xml:space="preserve"> </w:t>
      </w:r>
      <w:r w:rsidR="00915560" w:rsidRPr="00AD6960">
        <w:rPr>
          <w:rFonts w:ascii="Arial" w:hAnsi="Arial" w:cs="Arial"/>
          <w:sz w:val="20"/>
          <w:szCs w:val="20"/>
        </w:rPr>
        <w:t xml:space="preserve">questo </w:t>
      </w:r>
      <w:r w:rsidRPr="00AD6960">
        <w:rPr>
          <w:rFonts w:ascii="Arial" w:hAnsi="Arial" w:cs="Arial"/>
          <w:sz w:val="20"/>
          <w:szCs w:val="20"/>
        </w:rPr>
        <w:t>potrà essere</w:t>
      </w:r>
      <w:r w:rsidR="00116C82" w:rsidRPr="00AD6960">
        <w:rPr>
          <w:rFonts w:ascii="Arial" w:hAnsi="Arial" w:cs="Arial"/>
          <w:sz w:val="20"/>
          <w:szCs w:val="20"/>
        </w:rPr>
        <w:t xml:space="preserve"> </w:t>
      </w:r>
      <w:r w:rsidRPr="00AD6960">
        <w:rPr>
          <w:rFonts w:ascii="Arial" w:hAnsi="Arial" w:cs="Arial"/>
          <w:sz w:val="20"/>
          <w:szCs w:val="20"/>
        </w:rPr>
        <w:t>fatto valere per la dimostrazione del presente requisito da tutti i componenti del predetto operatore</w:t>
      </w:r>
      <w:r w:rsidR="00D74BF1" w:rsidRPr="00AD6960">
        <w:rPr>
          <w:rFonts w:ascii="Arial" w:hAnsi="Arial" w:cs="Arial"/>
          <w:sz w:val="20"/>
          <w:szCs w:val="20"/>
        </w:rPr>
        <w:t xml:space="preserve"> </w:t>
      </w:r>
      <w:r w:rsidRPr="00AD6960">
        <w:rPr>
          <w:rFonts w:ascii="Arial" w:hAnsi="Arial" w:cs="Arial"/>
          <w:sz w:val="20"/>
          <w:szCs w:val="20"/>
        </w:rPr>
        <w:t>economico.</w:t>
      </w:r>
    </w:p>
    <w:p w:rsidR="00F23029" w:rsidRDefault="00F23029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6960" w:rsidRDefault="00AD6960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6960" w:rsidRPr="00AD6960" w:rsidRDefault="00AD6960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69D6" w:rsidRPr="00AD6960" w:rsidRDefault="000F69D6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D6960">
        <w:rPr>
          <w:rFonts w:ascii="Arial" w:hAnsi="Arial" w:cs="Arial"/>
          <w:b/>
          <w:bCs/>
          <w:sz w:val="20"/>
          <w:szCs w:val="20"/>
        </w:rPr>
        <w:t>ART. 5 – CRITERIO DI AGGIUDICAZIONE</w:t>
      </w:r>
    </w:p>
    <w:p w:rsidR="000F69D6" w:rsidRPr="00AD6960" w:rsidRDefault="000F69D6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>La migliore offerta sarà individuata con il criterio dell’offerta economicamente più vantaggiosa ai sensi dell’art.</w:t>
      </w:r>
      <w:r w:rsidR="00D74BF1" w:rsidRPr="00AD6960">
        <w:rPr>
          <w:rFonts w:ascii="Arial" w:hAnsi="Arial" w:cs="Arial"/>
          <w:sz w:val="20"/>
          <w:szCs w:val="20"/>
        </w:rPr>
        <w:t xml:space="preserve"> </w:t>
      </w:r>
      <w:r w:rsidRPr="00AD6960">
        <w:rPr>
          <w:rFonts w:ascii="Arial" w:hAnsi="Arial" w:cs="Arial"/>
          <w:sz w:val="20"/>
          <w:szCs w:val="20"/>
        </w:rPr>
        <w:t xml:space="preserve">95 del D. </w:t>
      </w:r>
      <w:proofErr w:type="spellStart"/>
      <w:r w:rsidRPr="00AD6960">
        <w:rPr>
          <w:rFonts w:ascii="Arial" w:hAnsi="Arial" w:cs="Arial"/>
          <w:sz w:val="20"/>
          <w:szCs w:val="20"/>
        </w:rPr>
        <w:t>Lgs</w:t>
      </w:r>
      <w:proofErr w:type="spellEnd"/>
      <w:r w:rsidRPr="00AD6960">
        <w:rPr>
          <w:rFonts w:ascii="Arial" w:hAnsi="Arial" w:cs="Arial"/>
          <w:sz w:val="20"/>
          <w:szCs w:val="20"/>
        </w:rPr>
        <w:t xml:space="preserve">. 50/2016, </w:t>
      </w:r>
      <w:r w:rsidR="00067ECB" w:rsidRPr="00AD6960">
        <w:rPr>
          <w:rFonts w:ascii="Arial" w:hAnsi="Arial" w:cs="Arial"/>
          <w:sz w:val="20"/>
          <w:szCs w:val="20"/>
        </w:rPr>
        <w:t xml:space="preserve">con le modalità </w:t>
      </w:r>
      <w:r w:rsidRPr="00AD6960">
        <w:rPr>
          <w:rFonts w:ascii="Arial" w:hAnsi="Arial" w:cs="Arial"/>
          <w:sz w:val="20"/>
          <w:szCs w:val="20"/>
        </w:rPr>
        <w:t>di segui</w:t>
      </w:r>
      <w:r w:rsidR="00067ECB" w:rsidRPr="00AD6960">
        <w:rPr>
          <w:rFonts w:ascii="Arial" w:hAnsi="Arial" w:cs="Arial"/>
          <w:sz w:val="20"/>
          <w:szCs w:val="20"/>
        </w:rPr>
        <w:t>to riportate.</w:t>
      </w:r>
    </w:p>
    <w:p w:rsidR="000F69D6" w:rsidRPr="00AD6960" w:rsidRDefault="000F69D6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>I punteggi saranno assegnati applicando il metodo “aggregativo-compensatore”.</w:t>
      </w:r>
    </w:p>
    <w:p w:rsidR="000F69D6" w:rsidRPr="00AD6960" w:rsidRDefault="000F69D6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>In caso di parità di punteggio complessivo l’appalto sarà aggiudicato al concorrente che avrà ottenuto il</w:t>
      </w:r>
      <w:r w:rsidR="00AD6960" w:rsidRPr="00AD6960">
        <w:rPr>
          <w:rFonts w:ascii="Arial" w:hAnsi="Arial" w:cs="Arial"/>
          <w:sz w:val="20"/>
          <w:szCs w:val="20"/>
        </w:rPr>
        <w:t xml:space="preserve"> </w:t>
      </w:r>
      <w:r w:rsidRPr="00AD6960">
        <w:rPr>
          <w:rFonts w:ascii="Arial" w:hAnsi="Arial" w:cs="Arial"/>
          <w:sz w:val="20"/>
          <w:szCs w:val="20"/>
        </w:rPr>
        <w:t>maggior punteggio in sede di valutazione dell’offerta tecnica. In caso di ulteriore parità si procederà mediante</w:t>
      </w:r>
      <w:r w:rsidR="00D74BF1" w:rsidRPr="00AD6960">
        <w:rPr>
          <w:rFonts w:ascii="Arial" w:hAnsi="Arial" w:cs="Arial"/>
          <w:sz w:val="20"/>
          <w:szCs w:val="20"/>
        </w:rPr>
        <w:t xml:space="preserve"> </w:t>
      </w:r>
      <w:r w:rsidRPr="00AD6960">
        <w:rPr>
          <w:rFonts w:ascii="Arial" w:hAnsi="Arial" w:cs="Arial"/>
          <w:sz w:val="20"/>
          <w:szCs w:val="20"/>
        </w:rPr>
        <w:t>sorteggio.</w:t>
      </w:r>
    </w:p>
    <w:p w:rsidR="000F69D6" w:rsidRPr="00AD6960" w:rsidRDefault="000F69D6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>Si procederà all’aggiudicazione anche nel caso pervenga una sola offerta, purché ritenuta valida e</w:t>
      </w:r>
      <w:r w:rsidR="008E76BB" w:rsidRPr="00AD6960">
        <w:rPr>
          <w:rFonts w:ascii="Arial" w:hAnsi="Arial" w:cs="Arial"/>
          <w:sz w:val="20"/>
          <w:szCs w:val="20"/>
        </w:rPr>
        <w:t xml:space="preserve"> </w:t>
      </w:r>
      <w:r w:rsidRPr="00AD6960">
        <w:rPr>
          <w:rFonts w:ascii="Arial" w:hAnsi="Arial" w:cs="Arial"/>
          <w:sz w:val="20"/>
          <w:szCs w:val="20"/>
        </w:rPr>
        <w:t>conveniente per la Stazione appaltante.</w:t>
      </w:r>
    </w:p>
    <w:p w:rsidR="000F69D6" w:rsidRPr="00AD6960" w:rsidRDefault="000F69D6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 xml:space="preserve">La valutazione comparativa delle offerte sarà operata </w:t>
      </w:r>
      <w:r w:rsidR="00067ECB" w:rsidRPr="00AD6960">
        <w:rPr>
          <w:rFonts w:ascii="Arial" w:hAnsi="Arial" w:cs="Arial"/>
          <w:sz w:val="20"/>
          <w:szCs w:val="20"/>
        </w:rPr>
        <w:t xml:space="preserve">dalla </w:t>
      </w:r>
      <w:r w:rsidRPr="00AD6960">
        <w:rPr>
          <w:rFonts w:ascii="Arial" w:hAnsi="Arial" w:cs="Arial"/>
          <w:sz w:val="20"/>
          <w:szCs w:val="20"/>
        </w:rPr>
        <w:t>commissione giudicatrice in funzione dei</w:t>
      </w:r>
      <w:r w:rsidR="00D74BF1" w:rsidRPr="00AD6960">
        <w:rPr>
          <w:rFonts w:ascii="Arial" w:hAnsi="Arial" w:cs="Arial"/>
          <w:sz w:val="20"/>
          <w:szCs w:val="20"/>
        </w:rPr>
        <w:t xml:space="preserve"> </w:t>
      </w:r>
      <w:r w:rsidRPr="00AD6960">
        <w:rPr>
          <w:rFonts w:ascii="Arial" w:hAnsi="Arial" w:cs="Arial"/>
          <w:sz w:val="20"/>
          <w:szCs w:val="20"/>
        </w:rPr>
        <w:t>seguenti elementi e dei relativi pesi ponderali (massimo punteggio attribuibile a ciascun elemento), per un</w:t>
      </w:r>
      <w:r w:rsidR="00D74BF1" w:rsidRPr="00AD6960">
        <w:rPr>
          <w:rFonts w:ascii="Arial" w:hAnsi="Arial" w:cs="Arial"/>
          <w:sz w:val="20"/>
          <w:szCs w:val="20"/>
        </w:rPr>
        <w:t xml:space="preserve"> </w:t>
      </w:r>
      <w:r w:rsidRPr="00AD6960">
        <w:rPr>
          <w:rFonts w:ascii="Arial" w:hAnsi="Arial" w:cs="Arial"/>
          <w:sz w:val="20"/>
          <w:szCs w:val="20"/>
        </w:rPr>
        <w:t xml:space="preserve">punteggio massimo attribuibile a ciascuna offerta </w:t>
      </w:r>
      <w:r w:rsidR="00067ECB" w:rsidRPr="00AD6960">
        <w:rPr>
          <w:rFonts w:ascii="Arial" w:hAnsi="Arial" w:cs="Arial"/>
          <w:sz w:val="20"/>
          <w:szCs w:val="20"/>
        </w:rPr>
        <w:t>pari a punti 100.</w:t>
      </w:r>
    </w:p>
    <w:p w:rsidR="00D74BF1" w:rsidRPr="00AD6960" w:rsidRDefault="00D74BF1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69D6" w:rsidRPr="00AD6960" w:rsidRDefault="000F69D6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>Il punteggio finale di ciascun concorrente sarà ottenuto dalla somma dei punteggi ottenuti relativamente ai</w:t>
      </w:r>
      <w:r w:rsidR="00AD6960" w:rsidRPr="00AD6960">
        <w:rPr>
          <w:rFonts w:ascii="Arial" w:hAnsi="Arial" w:cs="Arial"/>
          <w:sz w:val="20"/>
          <w:szCs w:val="20"/>
        </w:rPr>
        <w:t xml:space="preserve"> </w:t>
      </w:r>
      <w:r w:rsidRPr="00AD6960">
        <w:rPr>
          <w:rFonts w:ascii="Arial" w:hAnsi="Arial" w:cs="Arial"/>
          <w:sz w:val="20"/>
          <w:szCs w:val="20"/>
        </w:rPr>
        <w:t>seguenti criteri:</w:t>
      </w:r>
    </w:p>
    <w:p w:rsidR="00D74BF1" w:rsidRPr="00AD6960" w:rsidRDefault="00D74BF1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69D6" w:rsidRPr="00AD6960" w:rsidRDefault="000F69D6" w:rsidP="00D74BF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 xml:space="preserve">Criteri qualitativi relativi all’offerta tecnica: </w:t>
      </w:r>
      <w:r w:rsidRPr="00AD6960">
        <w:rPr>
          <w:rFonts w:ascii="Arial" w:hAnsi="Arial" w:cs="Arial"/>
          <w:b/>
          <w:bCs/>
          <w:sz w:val="20"/>
          <w:szCs w:val="20"/>
        </w:rPr>
        <w:t xml:space="preserve">punteggio </w:t>
      </w:r>
      <w:proofErr w:type="spellStart"/>
      <w:r w:rsidRPr="00AD6960">
        <w:rPr>
          <w:rFonts w:ascii="Arial" w:hAnsi="Arial" w:cs="Arial"/>
          <w:b/>
          <w:bCs/>
          <w:sz w:val="20"/>
          <w:szCs w:val="20"/>
        </w:rPr>
        <w:t>max</w:t>
      </w:r>
      <w:proofErr w:type="spellEnd"/>
      <w:r w:rsidRPr="00AD6960">
        <w:rPr>
          <w:rFonts w:ascii="Arial" w:hAnsi="Arial" w:cs="Arial"/>
          <w:b/>
          <w:bCs/>
          <w:sz w:val="20"/>
          <w:szCs w:val="20"/>
        </w:rPr>
        <w:t xml:space="preserve"> 80</w:t>
      </w:r>
    </w:p>
    <w:p w:rsidR="000F69D6" w:rsidRPr="00AD6960" w:rsidRDefault="000F69D6" w:rsidP="00D74BF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D6960">
        <w:rPr>
          <w:rFonts w:ascii="Arial" w:hAnsi="Arial" w:cs="Arial"/>
          <w:sz w:val="20"/>
          <w:szCs w:val="20"/>
        </w:rPr>
        <w:t xml:space="preserve">Criteri quantitativi relativi al prezzo: </w:t>
      </w:r>
      <w:r w:rsidRPr="00AD6960">
        <w:rPr>
          <w:rFonts w:ascii="Arial" w:hAnsi="Arial" w:cs="Arial"/>
          <w:b/>
          <w:bCs/>
          <w:sz w:val="20"/>
          <w:szCs w:val="20"/>
        </w:rPr>
        <w:t xml:space="preserve">punteggio </w:t>
      </w:r>
      <w:proofErr w:type="spellStart"/>
      <w:r w:rsidRPr="00AD6960">
        <w:rPr>
          <w:rFonts w:ascii="Arial" w:hAnsi="Arial" w:cs="Arial"/>
          <w:b/>
          <w:bCs/>
          <w:sz w:val="20"/>
          <w:szCs w:val="20"/>
        </w:rPr>
        <w:t>max</w:t>
      </w:r>
      <w:proofErr w:type="spellEnd"/>
      <w:r w:rsidRPr="00AD6960">
        <w:rPr>
          <w:rFonts w:ascii="Arial" w:hAnsi="Arial" w:cs="Arial"/>
          <w:b/>
          <w:bCs/>
          <w:sz w:val="20"/>
          <w:szCs w:val="20"/>
        </w:rPr>
        <w:t xml:space="preserve"> 20</w:t>
      </w:r>
    </w:p>
    <w:p w:rsidR="00D74BF1" w:rsidRDefault="00D74BF1" w:rsidP="00D74BF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230FA" w:rsidRPr="00D74BF1" w:rsidRDefault="002230FA" w:rsidP="00D74BF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69D6" w:rsidRDefault="000F69D6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a. Valutazione dell’offerta tecnica (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max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80 punti):</w:t>
      </w:r>
    </w:p>
    <w:p w:rsidR="000F69D6" w:rsidRDefault="000F69D6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L’offerta tecnica sarà valutata sulla base di quanto riportato nella relazione tecnico metodologica, composta</w:t>
      </w:r>
    </w:p>
    <w:p w:rsidR="000F69D6" w:rsidRDefault="000F69D6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7C26">
        <w:rPr>
          <w:rFonts w:ascii="Arial" w:hAnsi="Arial" w:cs="Arial"/>
          <w:color w:val="000000"/>
          <w:sz w:val="20"/>
          <w:szCs w:val="20"/>
        </w:rPr>
        <w:t xml:space="preserve">dai </w:t>
      </w:r>
      <w:r w:rsidR="00915560" w:rsidRPr="00F37C26">
        <w:rPr>
          <w:rFonts w:ascii="Arial" w:hAnsi="Arial" w:cs="Arial"/>
          <w:color w:val="000000"/>
          <w:sz w:val="20"/>
          <w:szCs w:val="20"/>
        </w:rPr>
        <w:t xml:space="preserve">tre </w:t>
      </w:r>
      <w:r w:rsidR="00F37C26">
        <w:rPr>
          <w:rFonts w:ascii="Arial" w:hAnsi="Arial" w:cs="Arial"/>
          <w:color w:val="000000"/>
          <w:sz w:val="20"/>
          <w:szCs w:val="20"/>
        </w:rPr>
        <w:t>gruppi</w:t>
      </w:r>
      <w:r w:rsidRPr="00F37C26">
        <w:rPr>
          <w:rFonts w:ascii="Arial" w:hAnsi="Arial" w:cs="Arial"/>
          <w:color w:val="000000"/>
          <w:sz w:val="20"/>
          <w:szCs w:val="20"/>
        </w:rPr>
        <w:t xml:space="preserve"> </w:t>
      </w:r>
      <w:r w:rsidR="00F37C26">
        <w:rPr>
          <w:rFonts w:ascii="Arial" w:hAnsi="Arial" w:cs="Arial"/>
          <w:color w:val="000000"/>
          <w:sz w:val="20"/>
          <w:szCs w:val="20"/>
        </w:rPr>
        <w:t>della tabella A</w:t>
      </w:r>
      <w:r>
        <w:rPr>
          <w:rFonts w:ascii="Arial" w:hAnsi="Arial" w:cs="Arial"/>
          <w:color w:val="000000"/>
          <w:sz w:val="20"/>
          <w:szCs w:val="20"/>
        </w:rPr>
        <w:t>, contenente la previsione delle attività che verranno svolte in</w:t>
      </w:r>
      <w:r w:rsidR="00F37C2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caso di aggiudicazione dell’incarico, comprese le migliorie.</w:t>
      </w:r>
    </w:p>
    <w:p w:rsidR="000F69D6" w:rsidRDefault="000F69D6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 ciascuno dei gruppi di attività descritti nel capitolato speciale, l’offerta tecnica verrà valutata secondo i</w:t>
      </w:r>
      <w:r w:rsidR="008E76B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seguenti criteri qualitativi:</w:t>
      </w:r>
    </w:p>
    <w:p w:rsidR="000F69D6" w:rsidRDefault="000F69D6" w:rsidP="00255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D6960" w:rsidRDefault="00AD6960" w:rsidP="00255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2551CA" w:rsidRDefault="002551CA" w:rsidP="00255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2551CA" w:rsidRDefault="002551CA" w:rsidP="00255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2230FA" w:rsidRDefault="002230FA" w:rsidP="00255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2230FA" w:rsidRDefault="002230FA" w:rsidP="00255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CF1B77" w:rsidRDefault="00CF1B77" w:rsidP="00255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2551CA" w:rsidRDefault="002551CA" w:rsidP="00255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8330"/>
        <w:gridCol w:w="1448"/>
      </w:tblGrid>
      <w:tr w:rsidR="002551CA" w:rsidRPr="00AD6960" w:rsidTr="002551CA">
        <w:tc>
          <w:tcPr>
            <w:tcW w:w="8330" w:type="dxa"/>
          </w:tcPr>
          <w:p w:rsidR="002551CA" w:rsidRPr="00AD6960" w:rsidRDefault="002551CA" w:rsidP="002551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2551CA" w:rsidRPr="00AD6960" w:rsidRDefault="002551CA" w:rsidP="002551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AD69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  <w:t>TABELLA A - ELEMENTI DI NATURA QUALITATIVA</w:t>
            </w:r>
          </w:p>
          <w:p w:rsidR="002551CA" w:rsidRPr="00AD6960" w:rsidRDefault="002551CA" w:rsidP="000F69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8" w:type="dxa"/>
          </w:tcPr>
          <w:p w:rsidR="002551CA" w:rsidRPr="00AD6960" w:rsidRDefault="002551CA" w:rsidP="000F69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</w:p>
        </w:tc>
      </w:tr>
      <w:tr w:rsidR="002551CA" w:rsidRPr="00AD6960" w:rsidTr="002551CA">
        <w:tc>
          <w:tcPr>
            <w:tcW w:w="8330" w:type="dxa"/>
          </w:tcPr>
          <w:p w:rsidR="002551CA" w:rsidRPr="00AD6960" w:rsidRDefault="002551CA" w:rsidP="000F69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AD69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  <w:t>CRITERI E SUB CRITERI DI VALUTAZIONE</w:t>
            </w:r>
          </w:p>
        </w:tc>
        <w:tc>
          <w:tcPr>
            <w:tcW w:w="1448" w:type="dxa"/>
          </w:tcPr>
          <w:p w:rsidR="002551CA" w:rsidRPr="00AD6960" w:rsidRDefault="002551CA" w:rsidP="000F69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AD6960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Punteggio </w:t>
            </w:r>
            <w:proofErr w:type="spellStart"/>
            <w:r w:rsidRPr="00AD6960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max</w:t>
            </w:r>
            <w:proofErr w:type="spellEnd"/>
          </w:p>
        </w:tc>
      </w:tr>
    </w:tbl>
    <w:p w:rsidR="00F72064" w:rsidRPr="00AD6960" w:rsidRDefault="00F72064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6758"/>
        <w:gridCol w:w="1660"/>
        <w:gridCol w:w="1436"/>
      </w:tblGrid>
      <w:tr w:rsidR="00F72064" w:rsidRPr="00AD6960" w:rsidTr="00F72064">
        <w:tc>
          <w:tcPr>
            <w:tcW w:w="6758" w:type="dxa"/>
          </w:tcPr>
          <w:p w:rsidR="00F72064" w:rsidRPr="00AD6960" w:rsidRDefault="002551CA" w:rsidP="002551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AD696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1. Campagna conoscitiva e ricostruzione dello scenario attuale</w:t>
            </w:r>
          </w:p>
        </w:tc>
        <w:tc>
          <w:tcPr>
            <w:tcW w:w="1660" w:type="dxa"/>
          </w:tcPr>
          <w:p w:rsidR="00F72064" w:rsidRPr="00AD6960" w:rsidRDefault="00F72064" w:rsidP="005303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436" w:type="dxa"/>
          </w:tcPr>
          <w:p w:rsidR="00F72064" w:rsidRPr="00AD6960" w:rsidRDefault="00F72064" w:rsidP="005303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2551CA" w:rsidRPr="00AD6960" w:rsidTr="00F72064">
        <w:trPr>
          <w:trHeight w:val="733"/>
        </w:trPr>
        <w:tc>
          <w:tcPr>
            <w:tcW w:w="6758" w:type="dxa"/>
          </w:tcPr>
          <w:p w:rsidR="002551CA" w:rsidRPr="00AD6960" w:rsidRDefault="002551CA" w:rsidP="00F720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AD6960">
              <w:rPr>
                <w:rFonts w:ascii="Arial" w:hAnsi="Arial" w:cs="Arial"/>
                <w:bCs/>
                <w:color w:val="000000"/>
                <w:sz w:val="18"/>
                <w:szCs w:val="20"/>
              </w:rPr>
              <w:t>1.a. Metodologia di indagine per la ricostruzione dello stato attuale, descritta attraverso una specifica relazione dove si evincano quantità dei processi, specifiche tecniche degli stessi ed approcci tecnico-scientifici di elaborazione dei dati rilevati. Il punteggio sarà attribuito esprimendo un giudizio sulla base dei</w:t>
            </w:r>
            <w:r w:rsidRPr="00AD6960">
              <w:rPr>
                <w:sz w:val="20"/>
              </w:rPr>
              <w:t xml:space="preserve"> </w:t>
            </w:r>
            <w:r w:rsidRPr="00AD6960">
              <w:rPr>
                <w:rFonts w:ascii="Arial" w:hAnsi="Arial" w:cs="Arial"/>
                <w:bCs/>
                <w:color w:val="000000"/>
                <w:sz w:val="18"/>
                <w:szCs w:val="20"/>
              </w:rPr>
              <w:t>seguenti parametri: condizioni qualitative generali, grado di puntualità della ricostruzione dello stato attuale, numero delle modalità indagate</w:t>
            </w:r>
          </w:p>
        </w:tc>
        <w:tc>
          <w:tcPr>
            <w:tcW w:w="1660" w:type="dxa"/>
            <w:vAlign w:val="center"/>
          </w:tcPr>
          <w:p w:rsidR="002551CA" w:rsidRPr="00AD6960" w:rsidRDefault="002551CA" w:rsidP="00F720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AD696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36" w:type="dxa"/>
            <w:vMerge w:val="restart"/>
            <w:vAlign w:val="center"/>
          </w:tcPr>
          <w:p w:rsidR="002551CA" w:rsidRPr="00AD6960" w:rsidRDefault="00024D75" w:rsidP="00F720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AD696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20</w:t>
            </w:r>
          </w:p>
        </w:tc>
      </w:tr>
      <w:tr w:rsidR="002551CA" w:rsidRPr="00AD6960" w:rsidTr="00F72064">
        <w:tc>
          <w:tcPr>
            <w:tcW w:w="6758" w:type="dxa"/>
          </w:tcPr>
          <w:p w:rsidR="002551CA" w:rsidRPr="00AD6960" w:rsidRDefault="002551CA" w:rsidP="007805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AD6960">
              <w:rPr>
                <w:rFonts w:ascii="Arial" w:hAnsi="Arial" w:cs="Arial"/>
                <w:color w:val="000000"/>
                <w:sz w:val="18"/>
                <w:szCs w:val="20"/>
              </w:rPr>
              <w:t>1.b. Ricostruzione matrici O/D: il punteggio sarà assegnato qualora la metodologia di rilevo e di successiva ricostruzione delle matrici O/D sia tale da ottenere le matrici di riferimento per tutte le fasce orarie, eventualmente divise per periodi di riferimento (scolastico, non scolastico, festivo</w:t>
            </w:r>
            <w:r w:rsidR="00420516" w:rsidRPr="00AD6960">
              <w:rPr>
                <w:rFonts w:ascii="Arial" w:hAnsi="Arial" w:cs="Arial"/>
                <w:color w:val="000000"/>
                <w:sz w:val="18"/>
                <w:szCs w:val="20"/>
              </w:rPr>
              <w:t>) e della classificazione dei mezzi circolanti.</w:t>
            </w:r>
            <w:r w:rsidRPr="00AD6960">
              <w:rPr>
                <w:rFonts w:ascii="Arial" w:hAnsi="Arial" w:cs="Arial"/>
                <w:color w:val="000000"/>
                <w:sz w:val="18"/>
                <w:szCs w:val="20"/>
              </w:rPr>
              <w:t xml:space="preserve"> Il giudizio terrà conto della mole di informazioni supplementari effettivamente utilizzabile dall’Amministrazione.</w:t>
            </w:r>
          </w:p>
        </w:tc>
        <w:tc>
          <w:tcPr>
            <w:tcW w:w="1660" w:type="dxa"/>
            <w:vAlign w:val="center"/>
          </w:tcPr>
          <w:p w:rsidR="002551CA" w:rsidRPr="00AD6960" w:rsidRDefault="002551CA" w:rsidP="00F720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AD696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1436" w:type="dxa"/>
            <w:vMerge/>
          </w:tcPr>
          <w:p w:rsidR="002551CA" w:rsidRPr="00AD6960" w:rsidRDefault="002551CA" w:rsidP="005303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2551CA" w:rsidRPr="00AD6960" w:rsidTr="002551CA">
        <w:tc>
          <w:tcPr>
            <w:tcW w:w="6758" w:type="dxa"/>
          </w:tcPr>
          <w:p w:rsidR="002551CA" w:rsidRPr="00AD6960" w:rsidRDefault="002551CA" w:rsidP="00C84F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AD6960">
              <w:rPr>
                <w:rFonts w:ascii="Arial" w:hAnsi="Arial" w:cs="Arial"/>
                <w:color w:val="000000"/>
                <w:sz w:val="18"/>
                <w:szCs w:val="20"/>
              </w:rPr>
              <w:t xml:space="preserve">1.c. Implementazione del modello di simulazione: il punteggio sarà attribuito sulla base della compatibilità con i software </w:t>
            </w:r>
            <w:r w:rsidR="00C84F84" w:rsidRPr="00AD6960">
              <w:rPr>
                <w:rFonts w:ascii="Arial" w:hAnsi="Arial" w:cs="Arial"/>
                <w:color w:val="000000"/>
                <w:sz w:val="18"/>
                <w:szCs w:val="20"/>
              </w:rPr>
              <w:t xml:space="preserve">open source </w:t>
            </w:r>
            <w:r w:rsidRPr="00AD6960">
              <w:rPr>
                <w:rFonts w:ascii="Arial" w:hAnsi="Arial" w:cs="Arial"/>
                <w:color w:val="000000"/>
                <w:sz w:val="18"/>
                <w:szCs w:val="20"/>
              </w:rPr>
              <w:t>in una configurazione che garantisca la totale fruibilità del modello elaborato</w:t>
            </w:r>
            <w:r w:rsidR="00C84F84" w:rsidRPr="00AD6960">
              <w:rPr>
                <w:rFonts w:ascii="Arial" w:hAnsi="Arial" w:cs="Arial"/>
                <w:color w:val="000000"/>
                <w:sz w:val="18"/>
                <w:szCs w:val="20"/>
              </w:rPr>
              <w:t xml:space="preserve"> attraverso open data</w:t>
            </w:r>
          </w:p>
        </w:tc>
        <w:tc>
          <w:tcPr>
            <w:tcW w:w="1660" w:type="dxa"/>
            <w:vAlign w:val="center"/>
          </w:tcPr>
          <w:p w:rsidR="002551CA" w:rsidRPr="00AD6960" w:rsidRDefault="002551CA" w:rsidP="002551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AD696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1436" w:type="dxa"/>
            <w:vMerge/>
          </w:tcPr>
          <w:p w:rsidR="002551CA" w:rsidRPr="00AD6960" w:rsidRDefault="002551CA" w:rsidP="005303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</w:tbl>
    <w:p w:rsidR="000F69D6" w:rsidRPr="00AD6960" w:rsidRDefault="000F69D6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6758"/>
        <w:gridCol w:w="1660"/>
        <w:gridCol w:w="1436"/>
      </w:tblGrid>
      <w:tr w:rsidR="001D47EC" w:rsidRPr="00AD6960" w:rsidTr="001B01E3">
        <w:tc>
          <w:tcPr>
            <w:tcW w:w="9854" w:type="dxa"/>
            <w:gridSpan w:val="3"/>
          </w:tcPr>
          <w:p w:rsidR="00A239E0" w:rsidRPr="00AD6960" w:rsidRDefault="001D47EC" w:rsidP="00C84F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AD696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2. </w:t>
            </w:r>
            <w:r w:rsidR="00C84F84" w:rsidRPr="00AD696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Supporto alla redazione</w:t>
            </w:r>
            <w:r w:rsidRPr="00AD696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del Piano, </w:t>
            </w:r>
          </w:p>
          <w:p w:rsidR="001D47EC" w:rsidRPr="00AD6960" w:rsidRDefault="001D47EC" w:rsidP="00C84F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AD696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definizione degli scenari di progetto e degli indicatori di monitoraggio</w:t>
            </w:r>
          </w:p>
        </w:tc>
      </w:tr>
      <w:tr w:rsidR="00C50F36" w:rsidRPr="00AD6960" w:rsidTr="00517DDD">
        <w:trPr>
          <w:trHeight w:val="733"/>
        </w:trPr>
        <w:tc>
          <w:tcPr>
            <w:tcW w:w="6758" w:type="dxa"/>
          </w:tcPr>
          <w:p w:rsidR="00C50F36" w:rsidRPr="00AD6960" w:rsidRDefault="00C50F36" w:rsidP="00024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AD6960">
              <w:rPr>
                <w:rFonts w:ascii="Arial" w:hAnsi="Arial" w:cs="Arial"/>
                <w:color w:val="000000"/>
                <w:sz w:val="18"/>
                <w:szCs w:val="20"/>
              </w:rPr>
              <w:t xml:space="preserve">2.a. Qualità tecnica generale della proposta metodologica, valutata alla luce </w:t>
            </w:r>
            <w:r w:rsidR="0078494F" w:rsidRPr="00AD6960">
              <w:rPr>
                <w:rFonts w:ascii="Arial" w:hAnsi="Arial" w:cs="Arial"/>
                <w:color w:val="000000"/>
                <w:sz w:val="18"/>
                <w:szCs w:val="20"/>
              </w:rPr>
              <w:t xml:space="preserve">in ordine alle </w:t>
            </w:r>
            <w:r w:rsidRPr="00CF1B77">
              <w:rPr>
                <w:rFonts w:ascii="Arial" w:hAnsi="Arial" w:cs="Arial"/>
                <w:color w:val="000000"/>
                <w:sz w:val="18"/>
                <w:szCs w:val="20"/>
              </w:rPr>
              <w:t>strategie di approccio alle problematiche</w:t>
            </w:r>
            <w:r w:rsidRPr="00AD6960">
              <w:rPr>
                <w:rFonts w:ascii="Arial" w:hAnsi="Arial" w:cs="Arial"/>
                <w:color w:val="000000"/>
                <w:sz w:val="18"/>
                <w:szCs w:val="20"/>
              </w:rPr>
              <w:t xml:space="preserve"> evidenziate nel </w:t>
            </w:r>
            <w:r w:rsidRPr="00CF1B77">
              <w:rPr>
                <w:rFonts w:ascii="Arial" w:hAnsi="Arial" w:cs="Arial"/>
                <w:color w:val="000000"/>
                <w:sz w:val="18"/>
                <w:szCs w:val="20"/>
              </w:rPr>
              <w:t>capitolato</w:t>
            </w:r>
            <w:r w:rsidRPr="00AD6960">
              <w:rPr>
                <w:rFonts w:ascii="Arial" w:hAnsi="Arial" w:cs="Arial"/>
                <w:color w:val="000000"/>
                <w:sz w:val="18"/>
                <w:szCs w:val="20"/>
              </w:rPr>
              <w:t>, alla esaustività della descrizione delle metodologie che saranno applicate, alla interdisciplinarietà delle soluzioni studiate, anche con specifico riferimento alle fattibilità infrastrutturali degli scenari pianificati.</w:t>
            </w:r>
          </w:p>
        </w:tc>
        <w:tc>
          <w:tcPr>
            <w:tcW w:w="1660" w:type="dxa"/>
            <w:vAlign w:val="center"/>
          </w:tcPr>
          <w:p w:rsidR="00C50F36" w:rsidRPr="00AD6960" w:rsidRDefault="00C63112" w:rsidP="00517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AD696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15</w:t>
            </w:r>
          </w:p>
        </w:tc>
        <w:tc>
          <w:tcPr>
            <w:tcW w:w="1436" w:type="dxa"/>
            <w:vMerge w:val="restart"/>
            <w:vAlign w:val="center"/>
          </w:tcPr>
          <w:p w:rsidR="00C50F36" w:rsidRPr="00AD6960" w:rsidRDefault="00024D75" w:rsidP="00517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AD696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45</w:t>
            </w:r>
          </w:p>
        </w:tc>
      </w:tr>
      <w:tr w:rsidR="00024D75" w:rsidRPr="00AD6960" w:rsidTr="00517DDD">
        <w:trPr>
          <w:trHeight w:val="733"/>
        </w:trPr>
        <w:tc>
          <w:tcPr>
            <w:tcW w:w="6758" w:type="dxa"/>
          </w:tcPr>
          <w:p w:rsidR="00024D75" w:rsidRPr="00AD6960" w:rsidRDefault="001764AE" w:rsidP="001764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AD6960">
              <w:rPr>
                <w:rFonts w:ascii="Arial" w:hAnsi="Arial" w:cs="Arial"/>
                <w:color w:val="000000"/>
                <w:sz w:val="18"/>
                <w:szCs w:val="20"/>
              </w:rPr>
              <w:t>2.b</w:t>
            </w:r>
            <w:r w:rsidR="00C81639" w:rsidRPr="00AD6960">
              <w:rPr>
                <w:rFonts w:ascii="Arial" w:hAnsi="Arial" w:cs="Arial"/>
                <w:color w:val="000000"/>
                <w:sz w:val="18"/>
                <w:szCs w:val="20"/>
              </w:rPr>
              <w:t>.</w:t>
            </w:r>
            <w:r w:rsidR="00024D75" w:rsidRPr="00AD6960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AD6960">
              <w:rPr>
                <w:rFonts w:ascii="Arial" w:hAnsi="Arial" w:cs="Arial"/>
                <w:color w:val="000000"/>
                <w:sz w:val="18"/>
                <w:szCs w:val="20"/>
              </w:rPr>
              <w:t>E</w:t>
            </w:r>
            <w:r w:rsidR="00024D75" w:rsidRPr="00AD6960">
              <w:rPr>
                <w:rFonts w:ascii="Arial" w:hAnsi="Arial" w:cs="Arial"/>
                <w:color w:val="000000"/>
                <w:sz w:val="18"/>
                <w:szCs w:val="20"/>
              </w:rPr>
              <w:t>sperienze già maturate nell’ambito della redazione di altri PUMS</w:t>
            </w:r>
            <w:r w:rsidRPr="00AD6960">
              <w:rPr>
                <w:rFonts w:ascii="Arial" w:hAnsi="Arial" w:cs="Arial"/>
                <w:color w:val="000000"/>
                <w:sz w:val="18"/>
                <w:szCs w:val="20"/>
              </w:rPr>
              <w:t xml:space="preserve"> valutate in funzione della numerosità e qualità di progetti, studi, ricerche e pubblicazioni, sul tema della mobilità sostenibile.</w:t>
            </w:r>
          </w:p>
        </w:tc>
        <w:tc>
          <w:tcPr>
            <w:tcW w:w="1660" w:type="dxa"/>
            <w:vAlign w:val="center"/>
          </w:tcPr>
          <w:p w:rsidR="00C63112" w:rsidRPr="00AD6960" w:rsidRDefault="00C63112" w:rsidP="00517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AD696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10</w:t>
            </w:r>
          </w:p>
          <w:p w:rsidR="00C63112" w:rsidRPr="00AD6960" w:rsidRDefault="00C63112" w:rsidP="00C63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024D75" w:rsidRPr="00AD6960" w:rsidRDefault="00024D75" w:rsidP="00517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C50F36" w:rsidRPr="00AD6960" w:rsidTr="00517DDD">
        <w:tc>
          <w:tcPr>
            <w:tcW w:w="6758" w:type="dxa"/>
          </w:tcPr>
          <w:p w:rsidR="00C50F36" w:rsidRPr="00AD6960" w:rsidRDefault="00C50F36" w:rsidP="001764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AD6960">
              <w:rPr>
                <w:rFonts w:ascii="Arial" w:hAnsi="Arial" w:cs="Arial"/>
                <w:color w:val="000000"/>
                <w:sz w:val="18"/>
                <w:szCs w:val="20"/>
              </w:rPr>
              <w:t>2.</w:t>
            </w:r>
            <w:r w:rsidR="001764AE" w:rsidRPr="00AD6960">
              <w:rPr>
                <w:rFonts w:ascii="Arial" w:hAnsi="Arial" w:cs="Arial"/>
                <w:color w:val="000000"/>
                <w:sz w:val="18"/>
                <w:szCs w:val="20"/>
              </w:rPr>
              <w:t>c</w:t>
            </w:r>
            <w:r w:rsidRPr="00AD6960">
              <w:rPr>
                <w:rFonts w:ascii="Arial" w:hAnsi="Arial" w:cs="Arial"/>
                <w:color w:val="000000"/>
                <w:sz w:val="18"/>
                <w:szCs w:val="20"/>
              </w:rPr>
              <w:t>.</w:t>
            </w:r>
            <w:r w:rsidR="00C81639" w:rsidRPr="00AD6960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AD6960">
              <w:rPr>
                <w:rFonts w:ascii="Arial" w:hAnsi="Arial" w:cs="Arial"/>
                <w:color w:val="000000"/>
                <w:sz w:val="18"/>
                <w:szCs w:val="20"/>
              </w:rPr>
              <w:t xml:space="preserve">Mobilità sostenibile: l’offerta sarà valutata sulla base di una proposta metodologica che consenta di analizzare e proporre scenari per lo sviluppo di sistemi sostenibili di mobilità urbana ed extraurbana, del territorio intercomunale di Terni e Narni, con specifico riferimento a reti infrastrutturali per la </w:t>
            </w:r>
            <w:proofErr w:type="spellStart"/>
            <w:r w:rsidRPr="00AD6960">
              <w:rPr>
                <w:rFonts w:ascii="Arial" w:hAnsi="Arial" w:cs="Arial"/>
                <w:color w:val="000000"/>
                <w:sz w:val="18"/>
                <w:szCs w:val="20"/>
              </w:rPr>
              <w:t>ciclabilità</w:t>
            </w:r>
            <w:proofErr w:type="spellEnd"/>
            <w:r w:rsidRPr="00AD6960">
              <w:rPr>
                <w:rFonts w:ascii="Arial" w:hAnsi="Arial" w:cs="Arial"/>
                <w:color w:val="000000"/>
                <w:sz w:val="18"/>
                <w:szCs w:val="20"/>
              </w:rPr>
              <w:t xml:space="preserve">, la </w:t>
            </w:r>
            <w:proofErr w:type="spellStart"/>
            <w:r w:rsidRPr="00AD6960">
              <w:rPr>
                <w:rFonts w:ascii="Arial" w:hAnsi="Arial" w:cs="Arial"/>
                <w:color w:val="000000"/>
                <w:sz w:val="18"/>
                <w:szCs w:val="20"/>
              </w:rPr>
              <w:t>pedonalità</w:t>
            </w:r>
            <w:proofErr w:type="spellEnd"/>
            <w:r w:rsidRPr="00AD6960">
              <w:rPr>
                <w:rFonts w:ascii="Arial" w:hAnsi="Arial" w:cs="Arial"/>
                <w:color w:val="000000"/>
                <w:sz w:val="18"/>
                <w:szCs w:val="20"/>
              </w:rPr>
              <w:t xml:space="preserve"> e per i mezzi elettrici.</w:t>
            </w:r>
          </w:p>
        </w:tc>
        <w:tc>
          <w:tcPr>
            <w:tcW w:w="1660" w:type="dxa"/>
            <w:vAlign w:val="center"/>
          </w:tcPr>
          <w:p w:rsidR="00C50F36" w:rsidRPr="00AD6960" w:rsidRDefault="00C63112" w:rsidP="00517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AD696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1436" w:type="dxa"/>
            <w:vMerge/>
          </w:tcPr>
          <w:p w:rsidR="00C50F36" w:rsidRPr="00AD6960" w:rsidRDefault="00C50F36" w:rsidP="00517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C50F36" w:rsidRPr="00AD6960" w:rsidTr="00517DDD">
        <w:tc>
          <w:tcPr>
            <w:tcW w:w="6758" w:type="dxa"/>
          </w:tcPr>
          <w:p w:rsidR="00C50F36" w:rsidRPr="00AD6960" w:rsidRDefault="00C50F36" w:rsidP="00C8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AD6960">
              <w:rPr>
                <w:rFonts w:ascii="Arial" w:hAnsi="Arial" w:cs="Arial"/>
                <w:color w:val="000000"/>
                <w:sz w:val="18"/>
                <w:szCs w:val="20"/>
              </w:rPr>
              <w:t>2.</w:t>
            </w:r>
            <w:r w:rsidR="00C81639" w:rsidRPr="00AD6960">
              <w:rPr>
                <w:rFonts w:ascii="Arial" w:hAnsi="Arial" w:cs="Arial"/>
                <w:color w:val="000000"/>
                <w:sz w:val="18"/>
                <w:szCs w:val="20"/>
              </w:rPr>
              <w:t>d</w:t>
            </w:r>
            <w:r w:rsidRPr="00AD6960">
              <w:rPr>
                <w:rFonts w:ascii="Arial" w:hAnsi="Arial" w:cs="Arial"/>
                <w:color w:val="000000"/>
                <w:sz w:val="18"/>
                <w:szCs w:val="20"/>
              </w:rPr>
              <w:t xml:space="preserve">. Trasporto pubblico: l’offerta sarà valutata sulla base di una proposta metodologica che massimizzi il </w:t>
            </w:r>
            <w:r w:rsidRPr="00CF1B77">
              <w:rPr>
                <w:rFonts w:ascii="Arial" w:hAnsi="Arial" w:cs="Arial"/>
                <w:color w:val="000000"/>
                <w:sz w:val="18"/>
                <w:szCs w:val="20"/>
              </w:rPr>
              <w:t>conseguimento degli obiettivi</w:t>
            </w:r>
            <w:r w:rsidRPr="00AD6960">
              <w:rPr>
                <w:rFonts w:ascii="Arial" w:hAnsi="Arial" w:cs="Arial"/>
                <w:color w:val="000000"/>
                <w:sz w:val="18"/>
                <w:szCs w:val="20"/>
              </w:rPr>
              <w:t xml:space="preserve"> del </w:t>
            </w:r>
            <w:r w:rsidRPr="00CF1B77">
              <w:rPr>
                <w:rFonts w:ascii="Arial" w:hAnsi="Arial" w:cs="Arial"/>
                <w:color w:val="000000"/>
                <w:sz w:val="18"/>
                <w:szCs w:val="20"/>
              </w:rPr>
              <w:t>capitolato</w:t>
            </w:r>
            <w:r w:rsidRPr="00AD6960">
              <w:rPr>
                <w:rFonts w:ascii="Arial" w:hAnsi="Arial" w:cs="Arial"/>
                <w:color w:val="000000"/>
                <w:sz w:val="18"/>
                <w:szCs w:val="20"/>
              </w:rPr>
              <w:t>, con particolare riguardo al contenimento della rete portante nell’area urbana ed extraurbana e la proposizione di sistemi di trasporto pubblico innovativi e sostenibili.</w:t>
            </w:r>
          </w:p>
        </w:tc>
        <w:tc>
          <w:tcPr>
            <w:tcW w:w="1660" w:type="dxa"/>
            <w:vAlign w:val="center"/>
          </w:tcPr>
          <w:p w:rsidR="00C50F36" w:rsidRPr="00AD6960" w:rsidRDefault="00C63112" w:rsidP="00517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AD696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1436" w:type="dxa"/>
            <w:vMerge/>
          </w:tcPr>
          <w:p w:rsidR="00C50F36" w:rsidRPr="00AD6960" w:rsidRDefault="00C50F36" w:rsidP="00517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C50F36" w:rsidRPr="00AD6960" w:rsidTr="00517DDD">
        <w:tc>
          <w:tcPr>
            <w:tcW w:w="6758" w:type="dxa"/>
          </w:tcPr>
          <w:p w:rsidR="00C50F36" w:rsidRPr="00AD6960" w:rsidRDefault="00C50F36" w:rsidP="00C8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AD6960">
              <w:rPr>
                <w:rFonts w:ascii="Arial" w:hAnsi="Arial" w:cs="Arial"/>
                <w:color w:val="000000"/>
                <w:sz w:val="18"/>
                <w:szCs w:val="20"/>
              </w:rPr>
              <w:t>2.</w:t>
            </w:r>
            <w:r w:rsidR="00C81639" w:rsidRPr="00AD6960">
              <w:rPr>
                <w:rFonts w:ascii="Arial" w:hAnsi="Arial" w:cs="Arial"/>
                <w:color w:val="000000"/>
                <w:sz w:val="18"/>
                <w:szCs w:val="20"/>
              </w:rPr>
              <w:t>e</w:t>
            </w:r>
            <w:r w:rsidRPr="00AD6960">
              <w:rPr>
                <w:rFonts w:ascii="Arial" w:hAnsi="Arial" w:cs="Arial"/>
                <w:color w:val="000000"/>
                <w:sz w:val="18"/>
                <w:szCs w:val="20"/>
              </w:rPr>
              <w:t xml:space="preserve">. Analisi infrastrutturale circolatoria dei nodi critici: verranno valutate positivamente le proposte che conterranno approfondimenti tecnici, a livello di studio di fattibilità, delle soluzioni per i nodi infrastrutturali individuati come critici </w:t>
            </w:r>
          </w:p>
        </w:tc>
        <w:tc>
          <w:tcPr>
            <w:tcW w:w="1660" w:type="dxa"/>
            <w:vAlign w:val="center"/>
          </w:tcPr>
          <w:p w:rsidR="00C50F36" w:rsidRPr="00AD6960" w:rsidRDefault="00C63112" w:rsidP="00517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AD696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1436" w:type="dxa"/>
            <w:vMerge/>
          </w:tcPr>
          <w:p w:rsidR="00C50F36" w:rsidRPr="00AD6960" w:rsidRDefault="00C50F36" w:rsidP="00517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C50F36" w:rsidRPr="00AD6960" w:rsidTr="00517DDD">
        <w:tc>
          <w:tcPr>
            <w:tcW w:w="6758" w:type="dxa"/>
          </w:tcPr>
          <w:p w:rsidR="00C50F36" w:rsidRPr="00AD6960" w:rsidRDefault="00C50F36" w:rsidP="00C8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AD6960">
              <w:rPr>
                <w:rFonts w:ascii="Arial" w:hAnsi="Arial" w:cs="Arial"/>
                <w:color w:val="000000"/>
                <w:sz w:val="18"/>
                <w:szCs w:val="20"/>
              </w:rPr>
              <w:t>2.</w:t>
            </w:r>
            <w:r w:rsidR="00C81639" w:rsidRPr="00AD6960">
              <w:rPr>
                <w:rFonts w:ascii="Arial" w:hAnsi="Arial" w:cs="Arial"/>
                <w:color w:val="000000"/>
                <w:sz w:val="18"/>
                <w:szCs w:val="20"/>
              </w:rPr>
              <w:t>f</w:t>
            </w:r>
            <w:r w:rsidRPr="00AD6960">
              <w:rPr>
                <w:rFonts w:ascii="Arial" w:hAnsi="Arial" w:cs="Arial"/>
                <w:color w:val="000000"/>
                <w:sz w:val="18"/>
                <w:szCs w:val="20"/>
              </w:rPr>
              <w:t>. Processo di VAS: l’offerta sarà valutata sul grado di integrazione del processo di VAS come strumento decisorio per la valutazione e scelta dello scenario di piano</w:t>
            </w:r>
          </w:p>
        </w:tc>
        <w:tc>
          <w:tcPr>
            <w:tcW w:w="1660" w:type="dxa"/>
            <w:vAlign w:val="center"/>
          </w:tcPr>
          <w:p w:rsidR="00C50F36" w:rsidRPr="00AD6960" w:rsidRDefault="00C63112" w:rsidP="00517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AD696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1436" w:type="dxa"/>
            <w:vMerge/>
          </w:tcPr>
          <w:p w:rsidR="00C50F36" w:rsidRPr="00AD6960" w:rsidRDefault="00C50F36" w:rsidP="00517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</w:tbl>
    <w:p w:rsidR="00420516" w:rsidRPr="00AD6960" w:rsidRDefault="00420516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6758"/>
        <w:gridCol w:w="1660"/>
        <w:gridCol w:w="1436"/>
      </w:tblGrid>
      <w:tr w:rsidR="0060222E" w:rsidRPr="00AD6960" w:rsidTr="00517DDD">
        <w:tc>
          <w:tcPr>
            <w:tcW w:w="6758" w:type="dxa"/>
          </w:tcPr>
          <w:p w:rsidR="0060222E" w:rsidRPr="00AD6960" w:rsidRDefault="0060222E" w:rsidP="006022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AD696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3. Gestione operativa del processo partecipativo</w:t>
            </w:r>
          </w:p>
        </w:tc>
        <w:tc>
          <w:tcPr>
            <w:tcW w:w="1660" w:type="dxa"/>
          </w:tcPr>
          <w:p w:rsidR="0060222E" w:rsidRPr="00AD6960" w:rsidRDefault="0060222E" w:rsidP="00517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436" w:type="dxa"/>
          </w:tcPr>
          <w:p w:rsidR="0060222E" w:rsidRPr="00AD6960" w:rsidRDefault="0060222E" w:rsidP="00517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60222E" w:rsidRPr="00AD6960" w:rsidTr="00517DDD">
        <w:trPr>
          <w:trHeight w:val="733"/>
        </w:trPr>
        <w:tc>
          <w:tcPr>
            <w:tcW w:w="6758" w:type="dxa"/>
          </w:tcPr>
          <w:p w:rsidR="0060222E" w:rsidRPr="00AD6960" w:rsidRDefault="0060222E" w:rsidP="004A75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AD6960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3.a. Livello di innovazione delle modalità e </w:t>
            </w:r>
            <w:r w:rsidR="004A7575" w:rsidRPr="00AD6960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tipologia </w:t>
            </w:r>
            <w:r w:rsidRPr="00AD6960">
              <w:rPr>
                <w:rFonts w:ascii="Arial" w:hAnsi="Arial" w:cs="Arial"/>
                <w:bCs/>
                <w:color w:val="000000"/>
                <w:sz w:val="18"/>
                <w:szCs w:val="20"/>
              </w:rPr>
              <w:t>degli strumenti di coinvolgimento degli stakeholder e dei segmenti di popolazione di riferimento.</w:t>
            </w:r>
          </w:p>
        </w:tc>
        <w:tc>
          <w:tcPr>
            <w:tcW w:w="1660" w:type="dxa"/>
            <w:vAlign w:val="center"/>
          </w:tcPr>
          <w:p w:rsidR="0060222E" w:rsidRPr="00AD6960" w:rsidRDefault="00024D75" w:rsidP="00517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AD696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36" w:type="dxa"/>
            <w:vMerge w:val="restart"/>
            <w:vAlign w:val="center"/>
          </w:tcPr>
          <w:p w:rsidR="0060222E" w:rsidRPr="00AD6960" w:rsidRDefault="00024D75" w:rsidP="00517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AD696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15</w:t>
            </w:r>
          </w:p>
        </w:tc>
      </w:tr>
      <w:tr w:rsidR="0060222E" w:rsidRPr="00AD6960" w:rsidTr="00517DDD">
        <w:tc>
          <w:tcPr>
            <w:tcW w:w="6758" w:type="dxa"/>
          </w:tcPr>
          <w:p w:rsidR="0060222E" w:rsidRPr="00AD6960" w:rsidRDefault="004A7575" w:rsidP="007849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AD6960">
              <w:rPr>
                <w:rFonts w:ascii="Arial" w:hAnsi="Arial" w:cs="Arial"/>
                <w:color w:val="000000"/>
                <w:sz w:val="18"/>
                <w:szCs w:val="20"/>
              </w:rPr>
              <w:t>3.b.</w:t>
            </w:r>
            <w:r w:rsidR="00C81639" w:rsidRPr="00AD6960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="0078494F" w:rsidRPr="00AD6960">
              <w:rPr>
                <w:rFonts w:ascii="Arial" w:hAnsi="Arial" w:cs="Arial"/>
                <w:color w:val="000000"/>
                <w:sz w:val="18"/>
                <w:szCs w:val="20"/>
              </w:rPr>
              <w:t>Esperienze maturate in altri processi partecipativi, desumibili dal curriculum vitae del soggetto che curerà il processo partecipativo. Il punteggio sarà attribuito in funzione del numero delle esperienze maturate attinenti e della loro maggiore o minore affinità con la specifica prestazione oggetto della presente gara.</w:t>
            </w:r>
          </w:p>
        </w:tc>
        <w:tc>
          <w:tcPr>
            <w:tcW w:w="1660" w:type="dxa"/>
            <w:vAlign w:val="center"/>
          </w:tcPr>
          <w:p w:rsidR="0060222E" w:rsidRPr="00AD6960" w:rsidRDefault="00024D75" w:rsidP="00517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AD696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1436" w:type="dxa"/>
            <w:vMerge/>
          </w:tcPr>
          <w:p w:rsidR="0060222E" w:rsidRPr="00AD6960" w:rsidRDefault="0060222E" w:rsidP="00517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</w:tbl>
    <w:p w:rsidR="0060222E" w:rsidRDefault="0060222E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0222E" w:rsidRDefault="0060222E" w:rsidP="000F6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69D6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TOTALE PUNTEGGIO MASSIMO 80</w:t>
      </w:r>
    </w:p>
    <w:p w:rsidR="000F69D6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L’individuazione dell’offerta economicamente più vantaggiosa, secondo il metodo aggregativo compensatore,</w:t>
      </w:r>
      <w:r w:rsidR="00C8163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sarà effettuata attraverso l’assegnazione dei punteggi determinati con la seguente formula:</w:t>
      </w:r>
    </w:p>
    <w:p w:rsidR="000F69D6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C(a) = </w:t>
      </w:r>
      <w:proofErr w:type="spellStart"/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Σ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Wi*V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(a)i)</w:t>
      </w:r>
    </w:p>
    <w:p w:rsidR="000F69D6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dove:</w:t>
      </w:r>
    </w:p>
    <w:p w:rsidR="000F69D6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C(a) </w:t>
      </w:r>
      <w:r>
        <w:rPr>
          <w:rFonts w:ascii="Arial" w:hAnsi="Arial" w:cs="Arial"/>
          <w:color w:val="000000"/>
          <w:sz w:val="20"/>
          <w:szCs w:val="20"/>
        </w:rPr>
        <w:t>= Indice di valutazione dell’offerta (a)</w:t>
      </w:r>
    </w:p>
    <w:p w:rsidR="000F69D6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z w:val="20"/>
          <w:szCs w:val="20"/>
        </w:rPr>
        <w:t>= numero totale dei requisiti</w:t>
      </w:r>
    </w:p>
    <w:p w:rsidR="000F69D6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Wi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= peso o punteggio attribuito al requisito (i)</w:t>
      </w:r>
    </w:p>
    <w:p w:rsidR="000F69D6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V(a)i </w:t>
      </w:r>
      <w:r>
        <w:rPr>
          <w:rFonts w:ascii="Arial" w:hAnsi="Arial" w:cs="Arial"/>
          <w:color w:val="000000"/>
          <w:sz w:val="20"/>
          <w:szCs w:val="20"/>
        </w:rPr>
        <w:t>= coefficiente della prestazione dell’offerta (a) rispetto al requisito (i), variabile tra 0 e 1.</w:t>
      </w:r>
    </w:p>
    <w:p w:rsidR="000F69D6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Dall’analisi della documentazione che costituisce l’offerta tecnica, ciascun Commissario esprimerà, per ogni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elemento qualitativo previsto, un proprio giudizio - sulla base dei criteri motivazionali indicati nella tabella di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cui sopra - cui corrisponde un coefficiente compreso tra 0 e 1.</w:t>
      </w:r>
    </w:p>
    <w:p w:rsidR="000F69D6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 ciascun elemento sarà calcolata la media dei coefficienti attribuiti da ciascun commissario.</w:t>
      </w:r>
    </w:p>
    <w:p w:rsidR="000F69D6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Tali medie provvisorie vengono trasformate in coefficienti definitivi riportando ad 1 la media più alta e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proporzionando a tale valore massimo le medie provvisorie prima calcolate. Tali coefficienti vengono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moltiplicati per il sub-peso ponderale attribuito allo specifico sub-criterio di valutazione fissato nel bando e si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trovano così i punteggi definitivi per ogni sub-criterio.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Si esplicita che nel caso nessuna Offerta Tecnica ottenga come punteggio totale il valore massimo della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somma dei pesi previsti dal bando di gara per tutti gli elementi della predetta Offerta Tecnica (80 punti), non è</w:t>
      </w:r>
      <w:r w:rsidR="00C81639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effettuata alcuna riparametrazione di secondo livello, in quanto la Stazione appaltante, nella ricerca di un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equilibrio tra prezzo e qualità, ha fondato le proprie scelte sull’autonomia dei singoli elementi di valutazione.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b/>
          <w:bCs/>
          <w:color w:val="000000"/>
          <w:sz w:val="20"/>
          <w:szCs w:val="20"/>
        </w:rPr>
        <w:t>Clausola di sbarramento</w:t>
      </w:r>
      <w:r w:rsidRPr="00915560">
        <w:rPr>
          <w:rFonts w:ascii="Arial" w:hAnsi="Arial" w:cs="Arial"/>
          <w:color w:val="000000"/>
          <w:sz w:val="20"/>
          <w:szCs w:val="20"/>
        </w:rPr>
        <w:t>: si procederà all’apertura delle buste contenenti l’offerta economica delle sole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 xml:space="preserve">offerte che avranno ottenuto almeno </w:t>
      </w:r>
      <w:r w:rsidR="00915560" w:rsidRPr="00915560">
        <w:rPr>
          <w:rFonts w:ascii="Arial" w:hAnsi="Arial" w:cs="Arial"/>
          <w:color w:val="000000"/>
          <w:sz w:val="20"/>
          <w:szCs w:val="20"/>
        </w:rPr>
        <w:t xml:space="preserve">56 </w:t>
      </w:r>
      <w:r w:rsidRPr="00915560">
        <w:rPr>
          <w:rFonts w:ascii="Arial" w:hAnsi="Arial" w:cs="Arial"/>
          <w:color w:val="000000"/>
          <w:sz w:val="20"/>
          <w:szCs w:val="20"/>
        </w:rPr>
        <w:t>punti sul totale massimo previsto di punti 80.</w:t>
      </w:r>
    </w:p>
    <w:p w:rsidR="004D79F9" w:rsidRPr="00915560" w:rsidRDefault="004D79F9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1556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b. Valutazione dell’offerta economica (</w:t>
      </w:r>
      <w:proofErr w:type="spellStart"/>
      <w:r w:rsidRPr="0091556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max</w:t>
      </w:r>
      <w:proofErr w:type="spellEnd"/>
      <w:r w:rsidRPr="0091556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20 punti</w:t>
      </w:r>
      <w:r w:rsidRPr="00915560">
        <w:rPr>
          <w:rFonts w:ascii="Arial" w:hAnsi="Arial" w:cs="Arial"/>
          <w:b/>
          <w:bCs/>
          <w:color w:val="000000"/>
          <w:sz w:val="20"/>
          <w:szCs w:val="20"/>
        </w:rPr>
        <w:t>):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Al fine dell’attribuzione del relativo punteggio, la percentuale di ribasso offerta sarà valutata secondo la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seguente formula: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915560">
        <w:rPr>
          <w:rFonts w:ascii="Arial" w:hAnsi="Arial" w:cs="Arial"/>
          <w:color w:val="000000"/>
          <w:sz w:val="20"/>
          <w:szCs w:val="20"/>
        </w:rPr>
        <w:t>- se A</w:t>
      </w:r>
      <w:r w:rsidRPr="00915560">
        <w:rPr>
          <w:rFonts w:ascii="Arial" w:hAnsi="Arial" w:cs="Arial"/>
          <w:color w:val="000000"/>
          <w:sz w:val="16"/>
          <w:szCs w:val="16"/>
        </w:rPr>
        <w:t xml:space="preserve">i </w:t>
      </w:r>
      <w:r w:rsidRPr="00915560">
        <w:rPr>
          <w:rFonts w:ascii="Arial" w:hAnsi="Arial" w:cs="Arial"/>
          <w:color w:val="000000"/>
          <w:sz w:val="20"/>
          <w:szCs w:val="20"/>
        </w:rPr>
        <w:t xml:space="preserve">≤ </w:t>
      </w:r>
      <w:proofErr w:type="spellStart"/>
      <w:r w:rsidRPr="00915560">
        <w:rPr>
          <w:rFonts w:ascii="Arial" w:hAnsi="Arial" w:cs="Arial"/>
          <w:color w:val="000000"/>
          <w:sz w:val="20"/>
          <w:szCs w:val="20"/>
        </w:rPr>
        <w:t>A</w:t>
      </w:r>
      <w:r w:rsidRPr="00915560">
        <w:rPr>
          <w:rFonts w:ascii="Arial" w:hAnsi="Arial" w:cs="Arial"/>
          <w:color w:val="000000"/>
          <w:sz w:val="16"/>
          <w:szCs w:val="16"/>
        </w:rPr>
        <w:t>media</w:t>
      </w:r>
      <w:proofErr w:type="spellEnd"/>
      <w:r w:rsidRPr="00915560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915560">
        <w:rPr>
          <w:rFonts w:ascii="Arial" w:hAnsi="Arial" w:cs="Arial"/>
          <w:i/>
          <w:iCs/>
          <w:color w:val="000000"/>
          <w:sz w:val="20"/>
          <w:szCs w:val="20"/>
        </w:rPr>
        <w:t>X</w:t>
      </w:r>
      <w:r w:rsidRPr="00915560">
        <w:rPr>
          <w:rFonts w:ascii="Arial" w:hAnsi="Arial" w:cs="Arial"/>
          <w:i/>
          <w:iCs/>
          <w:color w:val="000000"/>
          <w:sz w:val="16"/>
          <w:szCs w:val="16"/>
        </w:rPr>
        <w:t>i</w:t>
      </w:r>
      <w:proofErr w:type="spellEnd"/>
      <w:r w:rsidRPr="0091556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6C44BF">
        <w:rPr>
          <w:rFonts w:ascii="Arial" w:hAnsi="Arial" w:cs="Arial"/>
          <w:i/>
          <w:iCs/>
          <w:color w:val="000000"/>
          <w:sz w:val="20"/>
          <w:szCs w:val="20"/>
        </w:rPr>
        <w:t>= Ai x 0.8</w:t>
      </w:r>
      <w:r w:rsidRPr="00915560">
        <w:rPr>
          <w:rFonts w:ascii="Arial" w:hAnsi="Arial" w:cs="Arial"/>
          <w:i/>
          <w:iCs/>
          <w:color w:val="000000"/>
          <w:sz w:val="20"/>
          <w:szCs w:val="20"/>
        </w:rPr>
        <w:t xml:space="preserve"> / </w:t>
      </w:r>
      <w:proofErr w:type="spellStart"/>
      <w:r w:rsidRPr="00915560">
        <w:rPr>
          <w:rFonts w:ascii="Arial" w:hAnsi="Arial" w:cs="Arial"/>
          <w:i/>
          <w:iCs/>
          <w:color w:val="000000"/>
          <w:sz w:val="20"/>
          <w:szCs w:val="20"/>
        </w:rPr>
        <w:t>A</w:t>
      </w:r>
      <w:r w:rsidRPr="00915560">
        <w:rPr>
          <w:rFonts w:ascii="Arial" w:hAnsi="Arial" w:cs="Arial"/>
          <w:i/>
          <w:iCs/>
          <w:color w:val="000000"/>
          <w:sz w:val="16"/>
          <w:szCs w:val="16"/>
        </w:rPr>
        <w:t>media</w:t>
      </w:r>
      <w:proofErr w:type="spellEnd"/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- se A</w:t>
      </w:r>
      <w:r w:rsidRPr="00915560">
        <w:rPr>
          <w:rFonts w:ascii="Arial" w:hAnsi="Arial" w:cs="Arial"/>
          <w:color w:val="000000"/>
          <w:sz w:val="16"/>
          <w:szCs w:val="16"/>
        </w:rPr>
        <w:t xml:space="preserve">i </w:t>
      </w:r>
      <w:r w:rsidRPr="00915560">
        <w:rPr>
          <w:rFonts w:ascii="Arial" w:hAnsi="Arial" w:cs="Arial"/>
          <w:color w:val="000000"/>
          <w:sz w:val="20"/>
          <w:szCs w:val="20"/>
        </w:rPr>
        <w:t xml:space="preserve">&gt; </w:t>
      </w:r>
      <w:proofErr w:type="spellStart"/>
      <w:r w:rsidRPr="00915560">
        <w:rPr>
          <w:rFonts w:ascii="Arial" w:hAnsi="Arial" w:cs="Arial"/>
          <w:color w:val="000000"/>
          <w:sz w:val="20"/>
          <w:szCs w:val="20"/>
        </w:rPr>
        <w:t>A</w:t>
      </w:r>
      <w:r w:rsidRPr="00915560">
        <w:rPr>
          <w:rFonts w:ascii="Arial" w:hAnsi="Arial" w:cs="Arial"/>
          <w:color w:val="000000"/>
          <w:sz w:val="16"/>
          <w:szCs w:val="16"/>
        </w:rPr>
        <w:t>media</w:t>
      </w:r>
      <w:proofErr w:type="spellEnd"/>
      <w:r w:rsidRPr="00915560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915560">
        <w:rPr>
          <w:rFonts w:ascii="Arial" w:hAnsi="Arial" w:cs="Arial"/>
          <w:i/>
          <w:iCs/>
          <w:color w:val="000000"/>
          <w:sz w:val="20"/>
          <w:szCs w:val="20"/>
        </w:rPr>
        <w:t>X</w:t>
      </w:r>
      <w:r w:rsidRPr="00915560">
        <w:rPr>
          <w:rFonts w:ascii="Arial" w:hAnsi="Arial" w:cs="Arial"/>
          <w:i/>
          <w:iCs/>
          <w:color w:val="000000"/>
          <w:sz w:val="16"/>
          <w:szCs w:val="16"/>
        </w:rPr>
        <w:t>i</w:t>
      </w:r>
      <w:proofErr w:type="spellEnd"/>
      <w:r w:rsidRPr="0091556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915560">
        <w:rPr>
          <w:rFonts w:ascii="Arial" w:hAnsi="Arial" w:cs="Arial"/>
          <w:i/>
          <w:iCs/>
          <w:color w:val="000000"/>
          <w:sz w:val="20"/>
          <w:szCs w:val="20"/>
        </w:rPr>
        <w:t>= 0</w:t>
      </w:r>
      <w:r w:rsidR="006C44BF">
        <w:rPr>
          <w:rFonts w:ascii="Arial" w:hAnsi="Arial" w:cs="Arial"/>
          <w:i/>
          <w:iCs/>
          <w:color w:val="000000"/>
          <w:sz w:val="20"/>
          <w:szCs w:val="20"/>
        </w:rPr>
        <w:t>.8</w:t>
      </w:r>
      <w:r w:rsidRPr="00915560">
        <w:rPr>
          <w:rFonts w:ascii="Arial" w:hAnsi="Arial" w:cs="Arial"/>
          <w:i/>
          <w:iCs/>
          <w:color w:val="000000"/>
          <w:sz w:val="20"/>
          <w:szCs w:val="20"/>
        </w:rPr>
        <w:t xml:space="preserve"> + </w:t>
      </w:r>
      <w:r w:rsidR="006C44BF">
        <w:rPr>
          <w:rFonts w:ascii="Arial" w:hAnsi="Arial" w:cs="Arial"/>
          <w:i/>
          <w:iCs/>
          <w:color w:val="000000"/>
          <w:sz w:val="20"/>
          <w:szCs w:val="20"/>
        </w:rPr>
        <w:t>(1 – 0.8</w:t>
      </w:r>
      <w:r w:rsidRPr="00915560">
        <w:rPr>
          <w:rFonts w:ascii="Arial" w:hAnsi="Arial" w:cs="Arial"/>
          <w:i/>
          <w:iCs/>
          <w:color w:val="000000"/>
          <w:sz w:val="20"/>
          <w:szCs w:val="20"/>
        </w:rPr>
        <w:t>) x [(A</w:t>
      </w:r>
      <w:r w:rsidRPr="00915560">
        <w:rPr>
          <w:rFonts w:ascii="Arial" w:hAnsi="Arial" w:cs="Arial"/>
          <w:i/>
          <w:iCs/>
          <w:color w:val="000000"/>
          <w:sz w:val="16"/>
          <w:szCs w:val="16"/>
        </w:rPr>
        <w:t xml:space="preserve">i </w:t>
      </w:r>
      <w:r w:rsidRPr="00915560">
        <w:rPr>
          <w:rFonts w:ascii="Arial" w:hAnsi="Arial" w:cs="Arial"/>
          <w:i/>
          <w:iCs/>
          <w:color w:val="000000"/>
          <w:sz w:val="20"/>
          <w:szCs w:val="20"/>
        </w:rPr>
        <w:t xml:space="preserve">– </w:t>
      </w:r>
      <w:proofErr w:type="spellStart"/>
      <w:r w:rsidRPr="00915560">
        <w:rPr>
          <w:rFonts w:ascii="Arial" w:hAnsi="Arial" w:cs="Arial"/>
          <w:i/>
          <w:iCs/>
          <w:color w:val="000000"/>
          <w:sz w:val="20"/>
          <w:szCs w:val="20"/>
        </w:rPr>
        <w:t>A</w:t>
      </w:r>
      <w:r w:rsidRPr="00915560">
        <w:rPr>
          <w:rFonts w:ascii="Arial" w:hAnsi="Arial" w:cs="Arial"/>
          <w:i/>
          <w:iCs/>
          <w:color w:val="000000"/>
          <w:sz w:val="16"/>
          <w:szCs w:val="16"/>
        </w:rPr>
        <w:t>media</w:t>
      </w:r>
      <w:proofErr w:type="spellEnd"/>
      <w:r w:rsidRPr="0091556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915560">
        <w:rPr>
          <w:rFonts w:ascii="Arial" w:hAnsi="Arial" w:cs="Arial"/>
          <w:i/>
          <w:iCs/>
          <w:color w:val="000000"/>
          <w:sz w:val="20"/>
          <w:szCs w:val="20"/>
        </w:rPr>
        <w:t>/ (</w:t>
      </w:r>
      <w:proofErr w:type="spellStart"/>
      <w:r w:rsidRPr="00915560">
        <w:rPr>
          <w:rFonts w:ascii="Arial" w:hAnsi="Arial" w:cs="Arial"/>
          <w:i/>
          <w:iCs/>
          <w:color w:val="000000"/>
          <w:sz w:val="20"/>
          <w:szCs w:val="20"/>
        </w:rPr>
        <w:t>A</w:t>
      </w:r>
      <w:r w:rsidRPr="00915560">
        <w:rPr>
          <w:rFonts w:ascii="Arial" w:hAnsi="Arial" w:cs="Arial"/>
          <w:i/>
          <w:iCs/>
          <w:color w:val="000000"/>
          <w:sz w:val="16"/>
          <w:szCs w:val="16"/>
        </w:rPr>
        <w:t>max</w:t>
      </w:r>
      <w:proofErr w:type="spellEnd"/>
      <w:r w:rsidRPr="0091556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915560">
        <w:rPr>
          <w:rFonts w:ascii="Arial" w:hAnsi="Arial" w:cs="Arial"/>
          <w:i/>
          <w:iCs/>
          <w:color w:val="000000"/>
          <w:sz w:val="20"/>
          <w:szCs w:val="20"/>
        </w:rPr>
        <w:t xml:space="preserve">– </w:t>
      </w:r>
      <w:proofErr w:type="spellStart"/>
      <w:r w:rsidRPr="00915560">
        <w:rPr>
          <w:rFonts w:ascii="Arial" w:hAnsi="Arial" w:cs="Arial"/>
          <w:i/>
          <w:iCs/>
          <w:color w:val="000000"/>
          <w:sz w:val="20"/>
          <w:szCs w:val="20"/>
        </w:rPr>
        <w:t>A</w:t>
      </w:r>
      <w:r w:rsidRPr="00915560">
        <w:rPr>
          <w:rFonts w:ascii="Arial" w:hAnsi="Arial" w:cs="Arial"/>
          <w:i/>
          <w:iCs/>
          <w:color w:val="000000"/>
          <w:sz w:val="16"/>
          <w:szCs w:val="16"/>
        </w:rPr>
        <w:t>media</w:t>
      </w:r>
      <w:proofErr w:type="spellEnd"/>
      <w:r w:rsidRPr="00915560"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dove: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15560">
        <w:rPr>
          <w:rFonts w:ascii="Arial" w:hAnsi="Arial" w:cs="Arial"/>
          <w:i/>
          <w:iCs/>
          <w:color w:val="000000"/>
          <w:sz w:val="20"/>
          <w:szCs w:val="20"/>
        </w:rPr>
        <w:t>X</w:t>
      </w:r>
      <w:r w:rsidRPr="00915560">
        <w:rPr>
          <w:rFonts w:ascii="Arial" w:hAnsi="Arial" w:cs="Arial"/>
          <w:i/>
          <w:iCs/>
          <w:color w:val="000000"/>
          <w:sz w:val="16"/>
          <w:szCs w:val="16"/>
        </w:rPr>
        <w:t>i</w:t>
      </w:r>
      <w:proofErr w:type="spellEnd"/>
      <w:r w:rsidRPr="0091556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: coefficiente da attribuire all’offerta i-esima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i/>
          <w:iCs/>
          <w:color w:val="000000"/>
          <w:sz w:val="20"/>
          <w:szCs w:val="20"/>
        </w:rPr>
        <w:t>A</w:t>
      </w:r>
      <w:r w:rsidRPr="00915560">
        <w:rPr>
          <w:rFonts w:ascii="Arial" w:hAnsi="Arial" w:cs="Arial"/>
          <w:i/>
          <w:iCs/>
          <w:color w:val="000000"/>
          <w:sz w:val="16"/>
          <w:szCs w:val="16"/>
        </w:rPr>
        <w:t>i</w:t>
      </w:r>
      <w:r w:rsidRPr="00915560">
        <w:rPr>
          <w:rFonts w:ascii="Arial" w:hAnsi="Arial" w:cs="Arial"/>
          <w:color w:val="000000"/>
          <w:sz w:val="20"/>
          <w:szCs w:val="20"/>
        </w:rPr>
        <w:t>: ribasso percentuale dell’i-esimo offerente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15560">
        <w:rPr>
          <w:rFonts w:ascii="Arial" w:hAnsi="Arial" w:cs="Arial"/>
          <w:i/>
          <w:iCs/>
          <w:color w:val="000000"/>
          <w:sz w:val="20"/>
          <w:szCs w:val="20"/>
        </w:rPr>
        <w:t>A</w:t>
      </w:r>
      <w:r w:rsidRPr="00915560">
        <w:rPr>
          <w:rFonts w:ascii="Arial" w:hAnsi="Arial" w:cs="Arial"/>
          <w:i/>
          <w:iCs/>
          <w:color w:val="000000"/>
          <w:sz w:val="16"/>
          <w:szCs w:val="16"/>
        </w:rPr>
        <w:t>max</w:t>
      </w:r>
      <w:proofErr w:type="spellEnd"/>
      <w:r w:rsidRPr="0091556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: ribasso percentuale massimo offerto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15560">
        <w:rPr>
          <w:rFonts w:ascii="Arial" w:hAnsi="Arial" w:cs="Arial"/>
          <w:i/>
          <w:iCs/>
          <w:color w:val="000000"/>
          <w:sz w:val="20"/>
          <w:szCs w:val="20"/>
        </w:rPr>
        <w:t>A</w:t>
      </w:r>
      <w:r w:rsidRPr="00915560">
        <w:rPr>
          <w:rFonts w:ascii="Arial" w:hAnsi="Arial" w:cs="Arial"/>
          <w:i/>
          <w:iCs/>
          <w:color w:val="000000"/>
          <w:sz w:val="16"/>
          <w:szCs w:val="16"/>
        </w:rPr>
        <w:t>media</w:t>
      </w:r>
      <w:proofErr w:type="spellEnd"/>
      <w:r w:rsidRPr="00915560">
        <w:rPr>
          <w:rFonts w:ascii="Arial" w:hAnsi="Arial" w:cs="Arial"/>
          <w:color w:val="000000"/>
          <w:sz w:val="20"/>
          <w:szCs w:val="20"/>
        </w:rPr>
        <w:t>: media aritmetica dei valori delle offerte.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 xml:space="preserve">Il punteggio verrà calcolato secondo la formula </w:t>
      </w:r>
      <w:proofErr w:type="spellStart"/>
      <w:r w:rsidRPr="00915560">
        <w:rPr>
          <w:rFonts w:ascii="Arial" w:hAnsi="Arial" w:cs="Arial"/>
          <w:color w:val="000000"/>
          <w:sz w:val="20"/>
          <w:szCs w:val="20"/>
        </w:rPr>
        <w:t>Pi=Xi</w:t>
      </w:r>
      <w:proofErr w:type="spellEnd"/>
      <w:r w:rsidRPr="00915560">
        <w:rPr>
          <w:rFonts w:ascii="Arial" w:hAnsi="Arial" w:cs="Arial"/>
          <w:color w:val="000000"/>
          <w:sz w:val="20"/>
          <w:szCs w:val="20"/>
        </w:rPr>
        <w:t xml:space="preserve"> x 20.</w:t>
      </w:r>
    </w:p>
    <w:p w:rsidR="008C01BA" w:rsidRPr="00915560" w:rsidRDefault="008C01BA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D6960" w:rsidRDefault="00AD6960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15560">
        <w:rPr>
          <w:rFonts w:ascii="Arial" w:hAnsi="Arial" w:cs="Arial"/>
          <w:b/>
          <w:bCs/>
          <w:color w:val="000000"/>
          <w:sz w:val="20"/>
          <w:szCs w:val="20"/>
        </w:rPr>
        <w:t>ART. 6 - CAUZIONE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 xml:space="preserve">Ai sensi dell’art. 93 del D. </w:t>
      </w:r>
      <w:proofErr w:type="spellStart"/>
      <w:r w:rsidRPr="00915560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915560">
        <w:rPr>
          <w:rFonts w:ascii="Arial" w:hAnsi="Arial" w:cs="Arial"/>
          <w:color w:val="000000"/>
          <w:sz w:val="20"/>
          <w:szCs w:val="20"/>
        </w:rPr>
        <w:t xml:space="preserve">. 50/2016 l’offerta del concorrente è corredata da una garanzia </w:t>
      </w:r>
      <w:proofErr w:type="spellStart"/>
      <w:r w:rsidRPr="00915560">
        <w:rPr>
          <w:rFonts w:ascii="Arial" w:hAnsi="Arial" w:cs="Arial"/>
          <w:color w:val="000000"/>
          <w:sz w:val="20"/>
          <w:szCs w:val="20"/>
        </w:rPr>
        <w:t>fidejussoria</w:t>
      </w:r>
      <w:proofErr w:type="spellEnd"/>
      <w:r w:rsidRPr="00915560">
        <w:rPr>
          <w:rFonts w:ascii="Arial" w:hAnsi="Arial" w:cs="Arial"/>
          <w:color w:val="000000"/>
          <w:sz w:val="20"/>
          <w:szCs w:val="20"/>
        </w:rPr>
        <w:t>,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 xml:space="preserve">denominata “garanzia provvisoria”, di € </w:t>
      </w:r>
      <w:r w:rsidR="00855762">
        <w:rPr>
          <w:rFonts w:ascii="Arial" w:hAnsi="Arial" w:cs="Arial"/>
          <w:color w:val="000000"/>
          <w:sz w:val="20"/>
          <w:szCs w:val="20"/>
        </w:rPr>
        <w:t>867,00</w:t>
      </w:r>
      <w:r w:rsidRPr="00915560">
        <w:rPr>
          <w:rFonts w:ascii="Arial" w:hAnsi="Arial" w:cs="Arial"/>
          <w:color w:val="000000"/>
          <w:sz w:val="20"/>
          <w:szCs w:val="20"/>
        </w:rPr>
        <w:t xml:space="preserve"> (</w:t>
      </w:r>
      <w:r w:rsidRPr="00915560">
        <w:rPr>
          <w:rFonts w:ascii="Arial" w:hAnsi="Arial" w:cs="Arial"/>
          <w:i/>
          <w:iCs/>
          <w:color w:val="000000"/>
          <w:sz w:val="20"/>
          <w:szCs w:val="20"/>
        </w:rPr>
        <w:t>pari al 2 % del valore netto a base di gara</w:t>
      </w:r>
      <w:r w:rsidRPr="00915560">
        <w:rPr>
          <w:rFonts w:ascii="Arial" w:hAnsi="Arial" w:cs="Arial"/>
          <w:color w:val="000000"/>
          <w:sz w:val="20"/>
          <w:szCs w:val="20"/>
        </w:rPr>
        <w:t>).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La cauzione soggiace a tutte le condizioni previste dal medesimo art. 93, che qui deve intendersi</w:t>
      </w:r>
      <w:r w:rsidR="001460EF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integralmente richiamato e trascritto.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Ai sensi del comma 7 del predetto articolo 93, gli operatori economici ai quali sia stata rilasciata da</w:t>
      </w:r>
      <w:r w:rsidR="00F640EB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organismi accreditati la certificazione del sistema di qualità conforme alle norme europee della serie UNI CEI</w:t>
      </w:r>
      <w:r w:rsidR="00F640EB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ISO9000 possono avvalersi della riduzione del 50% dell’importo della cauzione, nonché delle altre riduzioni</w:t>
      </w:r>
      <w:r w:rsidR="00F640EB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previste nello stesso articolo. Per fruire di tali benefici l’operatore economico deve segnalare e documentare</w:t>
      </w:r>
      <w:r w:rsidR="00F640EB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in sede di gara il possesso dei relativi requisiti.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In caso di RTI sia costituti che costituendi, la riduzione della garanzia è riconosciuta solo se tutte le imprese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partecipanti al raggruppamento risultino certificate.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Ai fini del calcolo dell’importo della cauzione, la Stazione Appaltante, in base a un’interpretazione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prudenziale del comma 7 del predetto articolo 93, ritiene che ogni riduzione deve essere calcolata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sull’importo totale della cauzione.</w:t>
      </w:r>
      <w:r w:rsidR="004D79F9" w:rsidRPr="0091556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C01BA" w:rsidRPr="00915560" w:rsidRDefault="008C01BA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D6960" w:rsidRDefault="00AD6960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15560">
        <w:rPr>
          <w:rFonts w:ascii="Arial" w:hAnsi="Arial" w:cs="Arial"/>
          <w:b/>
          <w:bCs/>
          <w:color w:val="000000"/>
          <w:sz w:val="20"/>
          <w:szCs w:val="20"/>
        </w:rPr>
        <w:t>ART. 7 – AVVALIMENTO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 xml:space="preserve">Il concorrente per partecipare alla presente procedura di gara può avvalersi dei requisiti di carattere </w:t>
      </w:r>
      <w:r w:rsidR="008C01BA" w:rsidRPr="00915560">
        <w:rPr>
          <w:rFonts w:ascii="Arial" w:hAnsi="Arial" w:cs="Arial"/>
          <w:color w:val="000000"/>
          <w:sz w:val="20"/>
          <w:szCs w:val="20"/>
        </w:rPr>
        <w:t xml:space="preserve">tecnico professionale </w:t>
      </w:r>
      <w:r w:rsidRPr="00915560">
        <w:rPr>
          <w:rFonts w:ascii="Arial" w:hAnsi="Arial" w:cs="Arial"/>
          <w:color w:val="000000"/>
          <w:sz w:val="20"/>
          <w:szCs w:val="20"/>
        </w:rPr>
        <w:t xml:space="preserve">di un’altra impresa (definita impresa ausiliaria), ai sensi dell’art. 89 del </w:t>
      </w:r>
      <w:proofErr w:type="spellStart"/>
      <w:r w:rsidRPr="00915560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915560">
        <w:rPr>
          <w:rFonts w:ascii="Arial" w:hAnsi="Arial" w:cs="Arial"/>
          <w:color w:val="000000"/>
          <w:sz w:val="20"/>
          <w:szCs w:val="20"/>
        </w:rPr>
        <w:t xml:space="preserve"> 50/16.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 xml:space="preserve">Si evidenzia che - poiché i requisiti indicati alle lettere a) e b) dell’art. 4 richiedono </w:t>
      </w:r>
      <w:r w:rsidRPr="00915560">
        <w:rPr>
          <w:rFonts w:ascii="Arial" w:hAnsi="Arial" w:cs="Arial"/>
          <w:i/>
          <w:iCs/>
          <w:color w:val="000000"/>
          <w:sz w:val="20"/>
          <w:szCs w:val="20"/>
        </w:rPr>
        <w:t>“esperienze professionali</w:t>
      </w:r>
      <w:r w:rsidR="003A6251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i/>
          <w:iCs/>
          <w:color w:val="000000"/>
          <w:sz w:val="20"/>
          <w:szCs w:val="20"/>
        </w:rPr>
        <w:t xml:space="preserve">pertinenti” </w:t>
      </w:r>
      <w:r w:rsidRPr="00915560">
        <w:rPr>
          <w:rFonts w:ascii="Arial" w:hAnsi="Arial" w:cs="Arial"/>
          <w:color w:val="000000"/>
          <w:sz w:val="20"/>
          <w:szCs w:val="20"/>
        </w:rPr>
        <w:t>- gli operatori economici possono avvalersi delle capacità di altri soggetti solo se questi ultimi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 xml:space="preserve">eseguono direttamente i servizi per cui tali capacità sono richieste, ai sensi dell’art. 89, comma 1 del D. </w:t>
      </w:r>
      <w:proofErr w:type="spellStart"/>
      <w:r w:rsidRPr="00915560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915560">
        <w:rPr>
          <w:rFonts w:ascii="Arial" w:hAnsi="Arial" w:cs="Arial"/>
          <w:color w:val="000000"/>
          <w:sz w:val="20"/>
          <w:szCs w:val="20"/>
        </w:rPr>
        <w:t>.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50/2016.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In caso di avvalimento dovrà essere presentata la documentazione prevista dall’art. 89, comma 1,</w:t>
      </w:r>
      <w:r w:rsidR="003F0F53" w:rsidRPr="00915560">
        <w:rPr>
          <w:rFonts w:ascii="Arial" w:hAnsi="Arial" w:cs="Arial"/>
          <w:color w:val="000000"/>
          <w:sz w:val="20"/>
          <w:szCs w:val="20"/>
        </w:rPr>
        <w:t xml:space="preserve"> del predetto decreto.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Si specifica inoltre quanto segue: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 xml:space="preserve">- </w:t>
      </w:r>
      <w:r w:rsidR="008C01BA" w:rsidRPr="00915560">
        <w:rPr>
          <w:rFonts w:ascii="Arial" w:hAnsi="Arial" w:cs="Arial"/>
          <w:color w:val="000000"/>
          <w:sz w:val="20"/>
          <w:szCs w:val="20"/>
        </w:rPr>
        <w:tab/>
      </w:r>
      <w:r w:rsidRPr="00915560">
        <w:rPr>
          <w:rFonts w:ascii="Arial" w:hAnsi="Arial" w:cs="Arial"/>
          <w:color w:val="000000"/>
          <w:sz w:val="20"/>
          <w:szCs w:val="20"/>
        </w:rPr>
        <w:t>Il concorrente e l'impresa ausiliaria sono responsabili in solido nei confronti della stazione appaltante in</w:t>
      </w:r>
      <w:r w:rsidR="008C01BA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relazione alle prestazioni oggetto del contratto.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 xml:space="preserve">- </w:t>
      </w:r>
      <w:r w:rsidR="003F0F53" w:rsidRPr="00915560">
        <w:rPr>
          <w:rFonts w:ascii="Arial" w:hAnsi="Arial" w:cs="Arial"/>
          <w:color w:val="000000"/>
          <w:sz w:val="20"/>
          <w:szCs w:val="20"/>
        </w:rPr>
        <w:tab/>
      </w:r>
      <w:r w:rsidRPr="00915560">
        <w:rPr>
          <w:rFonts w:ascii="Arial" w:hAnsi="Arial" w:cs="Arial"/>
          <w:color w:val="000000"/>
          <w:sz w:val="20"/>
          <w:szCs w:val="20"/>
        </w:rPr>
        <w:t>Non è consentito che della stessa impresa ausiliaria si avvalga più di un concorrente, e che partecipino</w:t>
      </w:r>
      <w:r w:rsidR="003F0F53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sia l'impresa ausiliaria che quella che si avvale dei requisiti, a pena di esclusione.</w:t>
      </w:r>
    </w:p>
    <w:p w:rsidR="000F69D6" w:rsidRDefault="000F69D6" w:rsidP="003A6251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 xml:space="preserve">- </w:t>
      </w:r>
      <w:r w:rsidR="003F0F53" w:rsidRPr="00915560">
        <w:rPr>
          <w:rFonts w:ascii="Arial" w:hAnsi="Arial" w:cs="Arial"/>
          <w:color w:val="000000"/>
          <w:sz w:val="20"/>
          <w:szCs w:val="20"/>
        </w:rPr>
        <w:tab/>
      </w:r>
      <w:r w:rsidRPr="00915560">
        <w:rPr>
          <w:rFonts w:ascii="Arial" w:hAnsi="Arial" w:cs="Arial"/>
          <w:color w:val="000000"/>
          <w:sz w:val="20"/>
          <w:szCs w:val="20"/>
        </w:rPr>
        <w:t>E’ ammesso l’avvalimento di più imprese ausiliarie fermo restando che l’ausiliario non può avvalersi a</w:t>
      </w:r>
      <w:r w:rsidR="003F0F53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sua volta di altro soggetto.</w:t>
      </w:r>
    </w:p>
    <w:p w:rsidR="003F0F53" w:rsidRDefault="003F0F53" w:rsidP="003A6251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</w:p>
    <w:p w:rsidR="00AD6960" w:rsidRDefault="00AD6960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230FA" w:rsidRDefault="002230FA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69D6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ART. 8 – SUBAPPALTO E CESSIONE DEL CONTRATTO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Non è ammesso il subappalto.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E’ vietata la cessione del presente contratto, a pena di nullità.</w:t>
      </w:r>
    </w:p>
    <w:p w:rsidR="003F0F53" w:rsidRPr="00915560" w:rsidRDefault="003F0F53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D6960" w:rsidRDefault="00AD6960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15560">
        <w:rPr>
          <w:rFonts w:ascii="Arial" w:hAnsi="Arial" w:cs="Arial"/>
          <w:b/>
          <w:bCs/>
          <w:color w:val="000000"/>
          <w:sz w:val="20"/>
          <w:szCs w:val="20"/>
        </w:rPr>
        <w:t>ART. 9 - MODALITÀ DI VERIFICA DEI REQUISITI DI PARTECIPAZIONE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La verifica del possesso dei requisiti di carattere generale, tecnico-professionale ed economico-finanziario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 xml:space="preserve">avverrà, ai sensi dell’art. </w:t>
      </w:r>
      <w:r w:rsidR="00915560" w:rsidRPr="00915560">
        <w:rPr>
          <w:rFonts w:ascii="Arial" w:hAnsi="Arial" w:cs="Arial"/>
          <w:color w:val="000000"/>
          <w:sz w:val="20"/>
          <w:szCs w:val="20"/>
        </w:rPr>
        <w:t>216, comma 13</w:t>
      </w:r>
      <w:r w:rsidRPr="00915560">
        <w:rPr>
          <w:rFonts w:ascii="Arial" w:hAnsi="Arial" w:cs="Arial"/>
          <w:color w:val="000000"/>
          <w:sz w:val="20"/>
          <w:szCs w:val="20"/>
        </w:rPr>
        <w:t xml:space="preserve"> del </w:t>
      </w:r>
      <w:proofErr w:type="spellStart"/>
      <w:r w:rsidRPr="00915560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915560">
        <w:rPr>
          <w:rFonts w:ascii="Arial" w:hAnsi="Arial" w:cs="Arial"/>
          <w:color w:val="000000"/>
          <w:sz w:val="20"/>
          <w:szCs w:val="20"/>
        </w:rPr>
        <w:t xml:space="preserve"> n.</w:t>
      </w:r>
      <w:r w:rsidR="00915560" w:rsidRPr="00915560">
        <w:rPr>
          <w:rFonts w:ascii="Arial" w:hAnsi="Arial" w:cs="Arial"/>
          <w:color w:val="000000"/>
          <w:sz w:val="20"/>
          <w:szCs w:val="20"/>
        </w:rPr>
        <w:t>50/2016</w:t>
      </w:r>
      <w:r w:rsidRPr="00915560">
        <w:rPr>
          <w:rFonts w:ascii="Arial" w:hAnsi="Arial" w:cs="Arial"/>
          <w:color w:val="000000"/>
          <w:sz w:val="20"/>
          <w:szCs w:val="20"/>
        </w:rPr>
        <w:t xml:space="preserve">, attraverso l’utilizzo del sistema </w:t>
      </w:r>
      <w:proofErr w:type="spellStart"/>
      <w:r w:rsidRPr="00915560">
        <w:rPr>
          <w:rFonts w:ascii="Arial" w:hAnsi="Arial" w:cs="Arial"/>
          <w:color w:val="000000"/>
          <w:sz w:val="20"/>
          <w:szCs w:val="20"/>
        </w:rPr>
        <w:t>AVC</w:t>
      </w:r>
      <w:r w:rsidRPr="00915560">
        <w:rPr>
          <w:rFonts w:ascii="Arial" w:hAnsi="Arial" w:cs="Arial"/>
          <w:i/>
          <w:iCs/>
          <w:color w:val="000000"/>
          <w:sz w:val="20"/>
          <w:szCs w:val="20"/>
        </w:rPr>
        <w:t>Pass</w:t>
      </w:r>
      <w:proofErr w:type="spellEnd"/>
      <w:r w:rsidRPr="00915560">
        <w:rPr>
          <w:rFonts w:ascii="Arial" w:hAnsi="Arial" w:cs="Arial"/>
          <w:color w:val="000000"/>
          <w:sz w:val="20"/>
          <w:szCs w:val="20"/>
        </w:rPr>
        <w:t>, reso</w:t>
      </w:r>
      <w:r w:rsidR="00915560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disponibile dall’Autorità di vigilanza sui contratti pubblici di lavori, servizi e forniture, ora ANAC, con delibera</w:t>
      </w:r>
      <w:r w:rsidR="00915560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 xml:space="preserve">attuativa n. 111 del 20.12.2012 e </w:t>
      </w:r>
      <w:proofErr w:type="spellStart"/>
      <w:r w:rsidRPr="00915560">
        <w:rPr>
          <w:rFonts w:ascii="Arial" w:hAnsi="Arial" w:cs="Arial"/>
          <w:color w:val="000000"/>
          <w:sz w:val="20"/>
          <w:szCs w:val="20"/>
        </w:rPr>
        <w:t>s.m.i.</w:t>
      </w:r>
      <w:proofErr w:type="spellEnd"/>
      <w:r w:rsidRPr="00915560">
        <w:rPr>
          <w:rFonts w:ascii="Arial" w:hAnsi="Arial" w:cs="Arial"/>
          <w:color w:val="000000"/>
          <w:sz w:val="20"/>
          <w:szCs w:val="20"/>
        </w:rPr>
        <w:t>, fatto salvo quanto previsto dal comma 3 del citato art.6-bis, mediante</w:t>
      </w:r>
      <w:r w:rsidR="003F0F53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la Banca Dati Nazionale Contratti Pubblici. La documentazione che in base alla deliberazione n. 111 del</w:t>
      </w:r>
      <w:r w:rsidR="003F0F53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20.12.2012, non sia rilasciata dalla predetta BDNCP, verrà acquisita dalla amministrazione concedente in</w:t>
      </w:r>
      <w:r w:rsidR="003F0F53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conformità a quanto disposto all’art. 71 del D.P.R. n. 445/2000.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 xml:space="preserve">Ciascun concorrente dovrà, pertanto, registrarsi al sistema </w:t>
      </w:r>
      <w:proofErr w:type="spellStart"/>
      <w:r w:rsidRPr="00915560">
        <w:rPr>
          <w:rFonts w:ascii="Arial" w:hAnsi="Arial" w:cs="Arial"/>
          <w:color w:val="000000"/>
          <w:sz w:val="20"/>
          <w:szCs w:val="20"/>
        </w:rPr>
        <w:t>AVC</w:t>
      </w:r>
      <w:r w:rsidRPr="00915560">
        <w:rPr>
          <w:rFonts w:ascii="Arial" w:hAnsi="Arial" w:cs="Arial"/>
          <w:i/>
          <w:iCs/>
          <w:color w:val="000000"/>
          <w:sz w:val="20"/>
          <w:szCs w:val="20"/>
        </w:rPr>
        <w:t>pass</w:t>
      </w:r>
      <w:proofErr w:type="spellEnd"/>
      <w:r w:rsidRPr="00915560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secondo le indicazioni operative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previste, nonché secondo i termini e le regole tecniche per l’acquisizione, l’aggiornamento e la consultazione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 xml:space="preserve">dei dati presenti sul sito: </w:t>
      </w:r>
      <w:hyperlink r:id="rId8" w:history="1">
        <w:r w:rsidR="003A6251" w:rsidRPr="000C2AE0">
          <w:rPr>
            <w:rStyle w:val="Collegamentoipertestuale"/>
            <w:rFonts w:ascii="Arial" w:hAnsi="Arial" w:cs="Arial"/>
            <w:sz w:val="20"/>
            <w:szCs w:val="20"/>
          </w:rPr>
          <w:t>www.anticorruzione.it/portal/public/classic/Servizi/ServiziOnline/AVCpass</w:t>
        </w:r>
      </w:hyperlink>
      <w:r w:rsidR="003A6251">
        <w:rPr>
          <w:rFonts w:ascii="Arial" w:hAnsi="Arial" w:cs="Arial"/>
          <w:color w:val="0000FF"/>
          <w:sz w:val="20"/>
          <w:szCs w:val="20"/>
        </w:rPr>
        <w:t xml:space="preserve">. </w:t>
      </w:r>
      <w:r w:rsidRPr="00915560">
        <w:rPr>
          <w:rFonts w:ascii="Arial" w:hAnsi="Arial" w:cs="Arial"/>
          <w:color w:val="000000"/>
          <w:sz w:val="20"/>
          <w:szCs w:val="20"/>
        </w:rPr>
        <w:t xml:space="preserve">Il concorrente effettua la predetta registrazione al servizio </w:t>
      </w:r>
      <w:proofErr w:type="spellStart"/>
      <w:r w:rsidRPr="00915560">
        <w:rPr>
          <w:rFonts w:ascii="Arial" w:hAnsi="Arial" w:cs="Arial"/>
          <w:color w:val="000000"/>
          <w:sz w:val="20"/>
          <w:szCs w:val="20"/>
        </w:rPr>
        <w:t>AVC</w:t>
      </w:r>
      <w:r w:rsidRPr="00915560">
        <w:rPr>
          <w:rFonts w:ascii="Arial" w:hAnsi="Arial" w:cs="Arial"/>
          <w:i/>
          <w:iCs/>
          <w:color w:val="000000"/>
          <w:sz w:val="20"/>
          <w:szCs w:val="20"/>
        </w:rPr>
        <w:t>pass</w:t>
      </w:r>
      <w:proofErr w:type="spellEnd"/>
      <w:r w:rsidRPr="00915560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e, individuato il CIG per il quale presenta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offerta, ottiene dal sistema un codice “</w:t>
      </w:r>
      <w:proofErr w:type="spellStart"/>
      <w:r w:rsidR="00915560">
        <w:rPr>
          <w:rFonts w:ascii="Arial" w:hAnsi="Arial" w:cs="Arial"/>
          <w:color w:val="000000"/>
          <w:sz w:val="20"/>
          <w:szCs w:val="20"/>
        </w:rPr>
        <w:t>PassOE</w:t>
      </w:r>
      <w:proofErr w:type="spellEnd"/>
      <w:r w:rsidRPr="00915560">
        <w:rPr>
          <w:rFonts w:ascii="Arial" w:hAnsi="Arial" w:cs="Arial"/>
          <w:color w:val="000000"/>
          <w:sz w:val="20"/>
          <w:szCs w:val="20"/>
        </w:rPr>
        <w:t>”. Il codice “</w:t>
      </w:r>
      <w:proofErr w:type="spellStart"/>
      <w:r w:rsidR="00915560">
        <w:rPr>
          <w:rFonts w:ascii="Arial" w:hAnsi="Arial" w:cs="Arial"/>
          <w:color w:val="000000"/>
          <w:sz w:val="20"/>
          <w:szCs w:val="20"/>
        </w:rPr>
        <w:t>PassOE</w:t>
      </w:r>
      <w:proofErr w:type="spellEnd"/>
      <w:r w:rsidRPr="00915560">
        <w:rPr>
          <w:rFonts w:ascii="Arial" w:hAnsi="Arial" w:cs="Arial"/>
          <w:color w:val="000000"/>
          <w:sz w:val="20"/>
          <w:szCs w:val="20"/>
        </w:rPr>
        <w:t>”, dopo essere stato generato, dovrà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essere inserito nella “Busta A” – Documentazione Amministrativa.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 xml:space="preserve">In caso di raggruppamento temporaneo, il codice </w:t>
      </w:r>
      <w:proofErr w:type="spellStart"/>
      <w:r w:rsidR="00915560">
        <w:rPr>
          <w:rFonts w:ascii="Arial" w:hAnsi="Arial" w:cs="Arial"/>
          <w:color w:val="000000"/>
          <w:sz w:val="20"/>
          <w:szCs w:val="20"/>
        </w:rPr>
        <w:t>PassOE</w:t>
      </w:r>
      <w:proofErr w:type="spellEnd"/>
      <w:r w:rsidRPr="00915560">
        <w:rPr>
          <w:rFonts w:ascii="Arial" w:hAnsi="Arial" w:cs="Arial"/>
          <w:color w:val="000000"/>
          <w:sz w:val="20"/>
          <w:szCs w:val="20"/>
        </w:rPr>
        <w:t>, dopo essere stato generato, deve essere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stampato e firmato congiuntamente anche da tutti i concorrenti mandanti.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Si segnala che, nel caso in cui partecipino alla presente procedura anche concorrenti che non risultino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 xml:space="preserve">essersi registrati presso il predetto sistema </w:t>
      </w:r>
      <w:proofErr w:type="spellStart"/>
      <w:r w:rsidRPr="00915560">
        <w:rPr>
          <w:rFonts w:ascii="Arial" w:hAnsi="Arial" w:cs="Arial"/>
          <w:color w:val="000000"/>
          <w:sz w:val="20"/>
          <w:szCs w:val="20"/>
        </w:rPr>
        <w:t>AVC</w:t>
      </w:r>
      <w:r w:rsidRPr="00915560">
        <w:rPr>
          <w:rFonts w:ascii="Arial" w:hAnsi="Arial" w:cs="Arial"/>
          <w:i/>
          <w:iCs/>
          <w:color w:val="000000"/>
          <w:sz w:val="20"/>
          <w:szCs w:val="20"/>
        </w:rPr>
        <w:t>pass</w:t>
      </w:r>
      <w:proofErr w:type="spellEnd"/>
      <w:r w:rsidRPr="00915560">
        <w:rPr>
          <w:rFonts w:ascii="Arial" w:hAnsi="Arial" w:cs="Arial"/>
          <w:color w:val="000000"/>
          <w:sz w:val="20"/>
          <w:szCs w:val="20"/>
        </w:rPr>
        <w:t>, l’Amministrazione provvederà, con apposita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comunicazione, ad assegnare un termine congruo per l’effettuazione della registrazione medesima.</w:t>
      </w:r>
    </w:p>
    <w:p w:rsidR="003F0F53" w:rsidRPr="00915560" w:rsidRDefault="003F0F53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6960" w:rsidRDefault="00AD6960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15560">
        <w:rPr>
          <w:rFonts w:ascii="Arial" w:hAnsi="Arial" w:cs="Arial"/>
          <w:b/>
          <w:bCs/>
          <w:color w:val="000000"/>
          <w:sz w:val="20"/>
          <w:szCs w:val="20"/>
        </w:rPr>
        <w:t>ART. 10. – MODALITA’ DI PRESENTAZIONE DELL’OFFERTA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 xml:space="preserve">I soggetti interessati potranno prendere parte alla gara facendo pervenire al COMUNE DI </w:t>
      </w:r>
      <w:r w:rsidR="00394628" w:rsidRPr="00915560">
        <w:rPr>
          <w:rFonts w:ascii="Arial" w:hAnsi="Arial" w:cs="Arial"/>
          <w:color w:val="000000"/>
          <w:sz w:val="20"/>
          <w:szCs w:val="20"/>
        </w:rPr>
        <w:t>TERNI</w:t>
      </w:r>
      <w:r w:rsidRPr="00915560">
        <w:rPr>
          <w:rFonts w:ascii="Arial" w:hAnsi="Arial" w:cs="Arial"/>
          <w:color w:val="000000"/>
          <w:sz w:val="20"/>
          <w:szCs w:val="20"/>
        </w:rPr>
        <w:t>, Uff.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="00394628" w:rsidRPr="00915560">
        <w:rPr>
          <w:rFonts w:ascii="Arial" w:hAnsi="Arial" w:cs="Arial"/>
          <w:color w:val="000000"/>
          <w:sz w:val="20"/>
          <w:szCs w:val="20"/>
        </w:rPr>
        <w:t>Protocollo</w:t>
      </w:r>
      <w:r w:rsidRPr="00915560">
        <w:rPr>
          <w:rFonts w:ascii="Arial" w:hAnsi="Arial" w:cs="Arial"/>
          <w:color w:val="000000"/>
          <w:sz w:val="20"/>
          <w:szCs w:val="20"/>
        </w:rPr>
        <w:t xml:space="preserve">, Piazza </w:t>
      </w:r>
      <w:r w:rsidR="00394628" w:rsidRPr="00915560">
        <w:rPr>
          <w:rFonts w:ascii="Arial" w:hAnsi="Arial" w:cs="Arial"/>
          <w:color w:val="000000"/>
          <w:sz w:val="20"/>
          <w:szCs w:val="20"/>
        </w:rPr>
        <w:t>Ridolfi</w:t>
      </w:r>
      <w:r w:rsidRPr="00915560">
        <w:rPr>
          <w:rFonts w:ascii="Arial" w:hAnsi="Arial" w:cs="Arial"/>
          <w:color w:val="000000"/>
          <w:sz w:val="20"/>
          <w:szCs w:val="20"/>
        </w:rPr>
        <w:t xml:space="preserve"> n. </w:t>
      </w:r>
      <w:r w:rsidR="00394628" w:rsidRPr="00915560">
        <w:rPr>
          <w:rFonts w:ascii="Arial" w:hAnsi="Arial" w:cs="Arial"/>
          <w:color w:val="000000"/>
          <w:sz w:val="20"/>
          <w:szCs w:val="20"/>
        </w:rPr>
        <w:t>1</w:t>
      </w:r>
      <w:r w:rsidRPr="00915560">
        <w:rPr>
          <w:rFonts w:ascii="Arial" w:hAnsi="Arial" w:cs="Arial"/>
          <w:color w:val="000000"/>
          <w:sz w:val="20"/>
          <w:szCs w:val="20"/>
        </w:rPr>
        <w:t xml:space="preserve">, </w:t>
      </w:r>
      <w:r w:rsidR="00394628" w:rsidRPr="00915560">
        <w:rPr>
          <w:rFonts w:ascii="Arial" w:hAnsi="Arial" w:cs="Arial"/>
          <w:color w:val="000000"/>
          <w:sz w:val="20"/>
          <w:szCs w:val="20"/>
        </w:rPr>
        <w:t>05100 TERNI</w:t>
      </w:r>
      <w:r w:rsidRPr="00915560">
        <w:rPr>
          <w:rFonts w:ascii="Arial" w:hAnsi="Arial" w:cs="Arial"/>
          <w:color w:val="000000"/>
          <w:sz w:val="20"/>
          <w:szCs w:val="20"/>
        </w:rPr>
        <w:t>, a mezzo posta</w:t>
      </w:r>
      <w:r w:rsidR="00394628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(raccomandata) o corriere privato, o mediante consegna a mano, entro il termine perentorio indicato nel</w:t>
      </w:r>
      <w:r w:rsidR="00394628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bando di gara, pena l’esclusione dalla stessa, apposito plico chiuso e controfirmato sui lembi di chiusura,</w:t>
      </w:r>
      <w:r w:rsidR="00394628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 xml:space="preserve">recante all’esterno ben evidente la seguente dicitura </w:t>
      </w:r>
      <w:r w:rsidRPr="00CF1B77">
        <w:rPr>
          <w:rFonts w:ascii="Arial" w:hAnsi="Arial" w:cs="Arial"/>
          <w:b/>
          <w:bCs/>
          <w:sz w:val="20"/>
          <w:szCs w:val="20"/>
        </w:rPr>
        <w:t>“</w:t>
      </w:r>
      <w:r w:rsidR="00CF310F" w:rsidRPr="00CF1B77">
        <w:rPr>
          <w:rFonts w:ascii="Arial" w:hAnsi="Arial" w:cs="Arial"/>
          <w:b/>
          <w:bCs/>
          <w:sz w:val="20"/>
          <w:szCs w:val="20"/>
        </w:rPr>
        <w:t xml:space="preserve">PROCEDURA APERTA PER L’AFFIDAMENTO DEL SERVIZIO DI ASSISTENZA TECNICA SPECIALISTICA A SUPPORTO DELLA REDAZIONE DEL PIANO URBANO DELLA MOBILITÀ SOSTENIBILE (PUMS) DEI COMUNI DI TERNI E NARNI </w:t>
      </w:r>
      <w:r w:rsidRPr="00CF1B77">
        <w:rPr>
          <w:rFonts w:ascii="Arial" w:hAnsi="Arial" w:cs="Arial"/>
          <w:b/>
          <w:bCs/>
          <w:sz w:val="20"/>
          <w:szCs w:val="20"/>
        </w:rPr>
        <w:t xml:space="preserve"> - CUP </w:t>
      </w:r>
      <w:r w:rsidR="00F13531">
        <w:rPr>
          <w:rFonts w:ascii="Arial" w:hAnsi="Arial" w:cs="Arial"/>
          <w:b/>
          <w:bCs/>
          <w:sz w:val="20"/>
          <w:szCs w:val="20"/>
        </w:rPr>
        <w:t>F41E16000400002</w:t>
      </w:r>
      <w:r w:rsidR="00F13531" w:rsidRPr="00AD696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F1B77">
        <w:rPr>
          <w:rFonts w:ascii="Arial" w:hAnsi="Arial" w:cs="Arial"/>
          <w:b/>
          <w:bCs/>
          <w:sz w:val="20"/>
          <w:szCs w:val="20"/>
        </w:rPr>
        <w:t xml:space="preserve">- CIG </w:t>
      </w:r>
      <w:r w:rsidR="00F13531">
        <w:rPr>
          <w:rFonts w:ascii="Arial" w:hAnsi="Arial" w:cs="Arial"/>
          <w:b/>
          <w:bCs/>
          <w:sz w:val="20"/>
          <w:szCs w:val="20"/>
        </w:rPr>
        <w:t>7045826F89</w:t>
      </w:r>
      <w:r w:rsidRPr="00CF1B77">
        <w:rPr>
          <w:rFonts w:ascii="Arial" w:hAnsi="Arial" w:cs="Arial"/>
          <w:b/>
          <w:bCs/>
          <w:sz w:val="20"/>
          <w:szCs w:val="20"/>
        </w:rPr>
        <w:t>”</w:t>
      </w:r>
      <w:r w:rsidRPr="00915560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915560">
        <w:rPr>
          <w:rFonts w:ascii="Arial" w:hAnsi="Arial" w:cs="Arial"/>
          <w:color w:val="000000"/>
          <w:sz w:val="20"/>
          <w:szCs w:val="20"/>
        </w:rPr>
        <w:t>e il mittente (nel caso</w:t>
      </w:r>
      <w:r w:rsidR="00CF310F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di Raggruppamenti sul plico deve essere indicato il nominativo di tutti i soggetti facenti parte del</w:t>
      </w:r>
      <w:r w:rsidR="00CF310F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Raggruppamento), e contenente al suo interno, pena l’esclusione, tre buste distinte e sigillate, riportanti le</w:t>
      </w:r>
      <w:r w:rsidR="00CF310F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seguenti diciture: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Busta A – documentazione amministrativa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Busta B – offerta tecnica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Busta C – offerta economica</w:t>
      </w:r>
    </w:p>
    <w:p w:rsidR="00CF310F" w:rsidRPr="00915560" w:rsidRDefault="00CF310F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 xml:space="preserve">Nella </w:t>
      </w:r>
      <w:r w:rsidRPr="00915560">
        <w:rPr>
          <w:rFonts w:ascii="Arial" w:hAnsi="Arial" w:cs="Arial"/>
          <w:b/>
          <w:bCs/>
          <w:color w:val="000000"/>
          <w:sz w:val="20"/>
          <w:szCs w:val="20"/>
        </w:rPr>
        <w:t xml:space="preserve">Busta A </w:t>
      </w:r>
      <w:r w:rsidRPr="00915560">
        <w:rPr>
          <w:rFonts w:ascii="Arial" w:hAnsi="Arial" w:cs="Arial"/>
          <w:color w:val="000000"/>
          <w:sz w:val="20"/>
          <w:szCs w:val="20"/>
        </w:rPr>
        <w:t>il concorrente dovrà inserire a pena di esclusione: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b/>
          <w:bCs/>
          <w:color w:val="000000"/>
          <w:sz w:val="20"/>
          <w:szCs w:val="20"/>
        </w:rPr>
        <w:t>1. l’istanza di partecipazione i</w:t>
      </w:r>
      <w:r w:rsidRPr="00915560">
        <w:rPr>
          <w:rFonts w:ascii="Arial" w:hAnsi="Arial" w:cs="Arial"/>
          <w:color w:val="000000"/>
          <w:sz w:val="20"/>
          <w:szCs w:val="20"/>
        </w:rPr>
        <w:t>n bollo, redatta in forma di dichiarazione sostitutiva di certificazione ai sensi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del D.P.R. 445/2000, secondo il modello allegato al presente disciplinare, sottoscritta a pena di esclusione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dal legale rappresentante della ditta e corredata da copia di un documento di identità in corso di validità del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sottoscrittore.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15560">
        <w:rPr>
          <w:rFonts w:ascii="Arial" w:hAnsi="Arial" w:cs="Arial"/>
          <w:color w:val="000000"/>
          <w:sz w:val="20"/>
          <w:szCs w:val="20"/>
        </w:rPr>
        <w:t>Nel caso di concorrente costituito da R.T.I. o da un consorzio non ancora costituiti, la domanda, a pena di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esclusione, deve essere sottoscritta da tutti i soggetti che costituiranno il predetto raggruppamento o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consorzio</w:t>
      </w:r>
      <w:r w:rsidRPr="00915560">
        <w:rPr>
          <w:rFonts w:ascii="Calibri" w:hAnsi="Calibri" w:cs="Calibri"/>
          <w:color w:val="000000"/>
        </w:rPr>
        <w:t>.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Si precisa che tutte le dichiarazioni sostitutive richieste ai fini della partecipazione alla presente procedura di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gara: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- devono essere rilasciate ai sensi degli artt. 46 e 47 del D.P.R. n.445/2000, con la sottoscrizione del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dichiarante (rappresentante legale del candidato o altro soggetto dotato del potere di impegnare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contrattualmente il candidato stesso); al tale fine le stesse devono essere corredate dalla copia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fotostatica di un documento di riconoscimento del dichiarante, in corso di validità</w:t>
      </w:r>
      <w:r w:rsidR="003A6251">
        <w:rPr>
          <w:rFonts w:ascii="Arial" w:hAnsi="Arial" w:cs="Arial"/>
          <w:color w:val="000000"/>
          <w:sz w:val="20"/>
          <w:szCs w:val="20"/>
        </w:rPr>
        <w:t>;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- potranno essere sottoscritte anche da procuratori dei legali rappresentati ed in tal caso va allegata copia</w:t>
      </w:r>
    </w:p>
    <w:p w:rsidR="000F69D6" w:rsidRPr="00915560" w:rsidRDefault="003A6251" w:rsidP="003A6251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0F69D6" w:rsidRPr="00915560">
        <w:rPr>
          <w:rFonts w:ascii="Arial" w:hAnsi="Arial" w:cs="Arial"/>
          <w:color w:val="000000"/>
          <w:sz w:val="20"/>
          <w:szCs w:val="20"/>
        </w:rPr>
        <w:t>conforme all’originale della relativa procura;</w:t>
      </w:r>
    </w:p>
    <w:p w:rsidR="000F69D6" w:rsidRPr="00915560" w:rsidRDefault="003A6251" w:rsidP="003A6251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0F69D6" w:rsidRPr="00915560">
        <w:rPr>
          <w:rFonts w:ascii="Arial" w:hAnsi="Arial" w:cs="Arial"/>
          <w:color w:val="000000"/>
          <w:sz w:val="20"/>
          <w:szCs w:val="20"/>
        </w:rPr>
        <w:t>devono essere rese e sottoscritte dai concorrenti, in qualsiasi forma di partecipazione, singoli,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F69D6" w:rsidRPr="00915560">
        <w:rPr>
          <w:rFonts w:ascii="Arial" w:hAnsi="Arial" w:cs="Arial"/>
          <w:color w:val="000000"/>
          <w:sz w:val="20"/>
          <w:szCs w:val="20"/>
        </w:rPr>
        <w:t>raggruppati, consorziati (comprese le imprese consorziate indicate quali esecutrici del servizio di che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F69D6" w:rsidRPr="00915560">
        <w:rPr>
          <w:rFonts w:ascii="Arial" w:hAnsi="Arial" w:cs="Arial"/>
          <w:color w:val="000000"/>
          <w:sz w:val="20"/>
          <w:szCs w:val="20"/>
        </w:rPr>
        <w:t>trattasi) e imprese ausiliarie.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In caso di società di professionisti o di società di ingegneria la domanda deve essere sottoscritta dal legale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rappresentante e riportare l’elenco dei professionisti delegati a svolgere i servizi richiesti, le loro qualifiche e i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dati di iscrizione all’Ordine.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2. </w:t>
      </w:r>
      <w:r w:rsidRPr="00915560">
        <w:rPr>
          <w:rFonts w:ascii="Arial" w:hAnsi="Arial" w:cs="Arial"/>
          <w:color w:val="000000"/>
          <w:sz w:val="20"/>
          <w:szCs w:val="20"/>
        </w:rPr>
        <w:t xml:space="preserve">la </w:t>
      </w:r>
      <w:r w:rsidRPr="00915560">
        <w:rPr>
          <w:rFonts w:ascii="Arial" w:hAnsi="Arial" w:cs="Arial"/>
          <w:b/>
          <w:bCs/>
          <w:color w:val="000000"/>
          <w:sz w:val="20"/>
          <w:szCs w:val="20"/>
        </w:rPr>
        <w:t>cauzione provvisoria</w:t>
      </w:r>
      <w:r w:rsidRPr="00915560">
        <w:rPr>
          <w:rFonts w:ascii="Arial" w:hAnsi="Arial" w:cs="Arial"/>
          <w:color w:val="000000"/>
          <w:sz w:val="20"/>
          <w:szCs w:val="20"/>
        </w:rPr>
        <w:t>, di cui all’articolo 6 (</w:t>
      </w:r>
      <w:r w:rsidRPr="00915560">
        <w:rPr>
          <w:rFonts w:ascii="Arial" w:hAnsi="Arial" w:cs="Arial"/>
          <w:i/>
          <w:iCs/>
          <w:color w:val="000000"/>
          <w:sz w:val="20"/>
          <w:szCs w:val="20"/>
        </w:rPr>
        <w:t>con allegate certificazioni in caso di riduzione della stessa</w:t>
      </w:r>
      <w:r w:rsidRPr="00915560">
        <w:rPr>
          <w:rFonts w:ascii="Arial" w:hAnsi="Arial" w:cs="Arial"/>
          <w:color w:val="000000"/>
          <w:sz w:val="20"/>
          <w:szCs w:val="20"/>
        </w:rPr>
        <w:t>);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915560">
        <w:rPr>
          <w:rFonts w:ascii="Arial" w:hAnsi="Arial" w:cs="Arial"/>
          <w:color w:val="000000"/>
          <w:sz w:val="20"/>
          <w:szCs w:val="20"/>
        </w:rPr>
        <w:t>. in caso di ricorso all’istituto dell’</w:t>
      </w:r>
      <w:r w:rsidRPr="00915560">
        <w:rPr>
          <w:rFonts w:ascii="Arial" w:hAnsi="Arial" w:cs="Arial"/>
          <w:b/>
          <w:bCs/>
          <w:color w:val="000000"/>
          <w:sz w:val="20"/>
          <w:szCs w:val="20"/>
        </w:rPr>
        <w:t>avvalimento</w:t>
      </w:r>
      <w:r w:rsidRPr="00915560">
        <w:rPr>
          <w:rFonts w:ascii="Arial" w:hAnsi="Arial" w:cs="Arial"/>
          <w:color w:val="000000"/>
          <w:sz w:val="20"/>
          <w:szCs w:val="20"/>
        </w:rPr>
        <w:t xml:space="preserve">, tutta la documentazione prevista dall’art. 89 del D. </w:t>
      </w:r>
      <w:proofErr w:type="spellStart"/>
      <w:r w:rsidRPr="00915560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915560">
        <w:rPr>
          <w:rFonts w:ascii="Arial" w:hAnsi="Arial" w:cs="Arial"/>
          <w:color w:val="000000"/>
          <w:sz w:val="20"/>
          <w:szCs w:val="20"/>
        </w:rPr>
        <w:t>.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50/2016 e dal precedente art. 7;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915560">
        <w:rPr>
          <w:rFonts w:ascii="Arial" w:hAnsi="Arial" w:cs="Arial"/>
          <w:color w:val="000000"/>
          <w:sz w:val="20"/>
          <w:szCs w:val="20"/>
        </w:rPr>
        <w:t xml:space="preserve">. il </w:t>
      </w:r>
      <w:proofErr w:type="spellStart"/>
      <w:r w:rsidR="00915560">
        <w:rPr>
          <w:rFonts w:ascii="Arial" w:hAnsi="Arial" w:cs="Arial"/>
          <w:b/>
          <w:bCs/>
          <w:color w:val="000000"/>
          <w:sz w:val="20"/>
          <w:szCs w:val="20"/>
        </w:rPr>
        <w:t>PassOE</w:t>
      </w:r>
      <w:proofErr w:type="spellEnd"/>
      <w:r w:rsidRPr="0091556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di cui all’art. 2, comma 3.2 delibera n. 111 del 20 dicembre 2012 dell’Autorità di Vigilanza;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915560">
        <w:rPr>
          <w:rFonts w:ascii="Arial" w:hAnsi="Arial" w:cs="Arial"/>
          <w:color w:val="000000"/>
          <w:sz w:val="20"/>
          <w:szCs w:val="20"/>
        </w:rPr>
        <w:t xml:space="preserve">. il </w:t>
      </w:r>
      <w:r w:rsidRPr="00915560">
        <w:rPr>
          <w:rFonts w:ascii="Arial" w:hAnsi="Arial" w:cs="Arial"/>
          <w:b/>
          <w:bCs/>
          <w:color w:val="000000"/>
          <w:sz w:val="20"/>
          <w:szCs w:val="20"/>
        </w:rPr>
        <w:t xml:space="preserve">protocollo di legalità </w:t>
      </w:r>
      <w:r w:rsidRPr="00915560">
        <w:rPr>
          <w:rFonts w:ascii="Arial" w:hAnsi="Arial" w:cs="Arial"/>
          <w:color w:val="000000"/>
          <w:sz w:val="20"/>
          <w:szCs w:val="20"/>
        </w:rPr>
        <w:t>debitamente firmato.</w:t>
      </w:r>
    </w:p>
    <w:p w:rsidR="00CF310F" w:rsidRPr="00915560" w:rsidRDefault="00CF310F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Nella busta “</w:t>
      </w:r>
      <w:r w:rsidRPr="00915560">
        <w:rPr>
          <w:rFonts w:ascii="Arial" w:hAnsi="Arial" w:cs="Arial"/>
          <w:b/>
          <w:bCs/>
          <w:color w:val="000000"/>
          <w:sz w:val="20"/>
          <w:szCs w:val="20"/>
        </w:rPr>
        <w:t>B – OFFERTA TECNICA</w:t>
      </w:r>
      <w:r w:rsidRPr="00915560">
        <w:rPr>
          <w:rFonts w:ascii="Arial" w:hAnsi="Arial" w:cs="Arial"/>
          <w:color w:val="000000"/>
          <w:sz w:val="20"/>
          <w:szCs w:val="20"/>
        </w:rPr>
        <w:t>”, il concorrente deve inserire a pena di esclusione l’offerta tecnica. La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stessa dovrà essere redatta in lingua italiana, sottoscritta per esteso con firma leggibile e indicazione delle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sue generalità dal titolare o legale rappresentante del concorrente.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Nel caso di concorrente costituito da raggruppamento temporaneo o da un consorzio non ancora costituiti, da</w:t>
      </w:r>
      <w:r w:rsidR="00CF310F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 xml:space="preserve">tutti i soggetti del costituendo raggruppamento o consorzio; nel caso di società di ingegneria e di </w:t>
      </w:r>
      <w:r w:rsidR="00CF310F" w:rsidRPr="00915560">
        <w:rPr>
          <w:rFonts w:ascii="Arial" w:hAnsi="Arial" w:cs="Arial"/>
          <w:color w:val="000000"/>
          <w:sz w:val="20"/>
          <w:szCs w:val="20"/>
        </w:rPr>
        <w:t>p</w:t>
      </w:r>
      <w:r w:rsidRPr="00915560">
        <w:rPr>
          <w:rFonts w:ascii="Arial" w:hAnsi="Arial" w:cs="Arial"/>
          <w:color w:val="000000"/>
          <w:sz w:val="20"/>
          <w:szCs w:val="20"/>
        </w:rPr>
        <w:t>rofessionisti</w:t>
      </w:r>
      <w:r w:rsidR="00CF310F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dal legale rappresentante della società.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In particolare: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 xml:space="preserve">- L’offerta tecnica deve essere ordinata in </w:t>
      </w:r>
      <w:r w:rsidR="00915560" w:rsidRPr="00915560">
        <w:rPr>
          <w:rFonts w:ascii="Arial" w:hAnsi="Arial" w:cs="Arial"/>
          <w:color w:val="000000"/>
          <w:sz w:val="20"/>
          <w:szCs w:val="20"/>
        </w:rPr>
        <w:t xml:space="preserve">3 fascicoli </w:t>
      </w:r>
      <w:r w:rsidRPr="00915560">
        <w:rPr>
          <w:rFonts w:ascii="Arial" w:hAnsi="Arial" w:cs="Arial"/>
          <w:color w:val="000000"/>
          <w:sz w:val="20"/>
          <w:szCs w:val="20"/>
        </w:rPr>
        <w:t>separati per ciascuno degli elementi di valutazione di</w:t>
      </w:r>
    </w:p>
    <w:p w:rsidR="000F69D6" w:rsidRPr="00915560" w:rsidRDefault="003A6251" w:rsidP="003A6251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F69D6" w:rsidRPr="00915560">
        <w:rPr>
          <w:rFonts w:ascii="Arial" w:hAnsi="Arial" w:cs="Arial"/>
          <w:color w:val="000000"/>
          <w:sz w:val="20"/>
          <w:szCs w:val="20"/>
        </w:rPr>
        <w:t>natura qualitativa (criteri).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 xml:space="preserve">- Ciascun fascicolo sarà articolato in paragrafi relativi ad ogni </w:t>
      </w:r>
      <w:proofErr w:type="spellStart"/>
      <w:r w:rsidRPr="00915560">
        <w:rPr>
          <w:rFonts w:ascii="Arial" w:hAnsi="Arial" w:cs="Arial"/>
          <w:color w:val="000000"/>
          <w:sz w:val="20"/>
          <w:szCs w:val="20"/>
        </w:rPr>
        <w:t>subcriterio</w:t>
      </w:r>
      <w:proofErr w:type="spellEnd"/>
      <w:r w:rsidRPr="00915560">
        <w:rPr>
          <w:rFonts w:ascii="Arial" w:hAnsi="Arial" w:cs="Arial"/>
          <w:color w:val="000000"/>
          <w:sz w:val="20"/>
          <w:szCs w:val="20"/>
        </w:rPr>
        <w:t>.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 xml:space="preserve">- Per ciascuno dei </w:t>
      </w:r>
      <w:proofErr w:type="spellStart"/>
      <w:r w:rsidRPr="00915560">
        <w:rPr>
          <w:rFonts w:ascii="Arial" w:hAnsi="Arial" w:cs="Arial"/>
          <w:color w:val="000000"/>
          <w:sz w:val="20"/>
          <w:szCs w:val="20"/>
        </w:rPr>
        <w:t>subcriteri</w:t>
      </w:r>
      <w:proofErr w:type="spellEnd"/>
      <w:r w:rsidRPr="00915560">
        <w:rPr>
          <w:rFonts w:ascii="Arial" w:hAnsi="Arial" w:cs="Arial"/>
          <w:color w:val="000000"/>
          <w:sz w:val="20"/>
          <w:szCs w:val="20"/>
        </w:rPr>
        <w:t xml:space="preserve"> 1a, 2a e 3a il paragrafo deve essere costituito complessivamente da un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numero massimo di 10 (dieci) singole facciate di pagine in formato</w:t>
      </w:r>
      <w:r w:rsidR="00F37C26">
        <w:rPr>
          <w:rFonts w:ascii="Arial" w:hAnsi="Arial" w:cs="Arial"/>
          <w:color w:val="000000"/>
          <w:sz w:val="20"/>
          <w:szCs w:val="20"/>
        </w:rPr>
        <w:t xml:space="preserve"> A4</w:t>
      </w:r>
      <w:r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="00915560" w:rsidRPr="00915560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915560" w:rsidRPr="00915560">
        <w:rPr>
          <w:rFonts w:ascii="Arial" w:hAnsi="Arial" w:cs="Arial"/>
          <w:color w:val="000000"/>
          <w:sz w:val="20"/>
          <w:szCs w:val="20"/>
        </w:rPr>
        <w:t>max</w:t>
      </w:r>
      <w:proofErr w:type="spellEnd"/>
      <w:r w:rsidR="00915560" w:rsidRPr="00915560">
        <w:rPr>
          <w:rFonts w:ascii="Arial" w:hAnsi="Arial" w:cs="Arial"/>
          <w:color w:val="000000"/>
          <w:sz w:val="20"/>
          <w:szCs w:val="20"/>
        </w:rPr>
        <w:t xml:space="preserve"> n. 20 righe ogni facciata</w:t>
      </w:r>
      <w:r w:rsidR="00601AC1">
        <w:rPr>
          <w:rFonts w:ascii="Arial" w:hAnsi="Arial" w:cs="Arial"/>
          <w:color w:val="000000"/>
          <w:sz w:val="20"/>
          <w:szCs w:val="20"/>
        </w:rPr>
        <w:t>, carattere 12</w:t>
      </w:r>
      <w:r w:rsidR="00915560" w:rsidRPr="00915560">
        <w:rPr>
          <w:rFonts w:ascii="Arial" w:hAnsi="Arial" w:cs="Arial"/>
          <w:color w:val="000000"/>
          <w:sz w:val="20"/>
          <w:szCs w:val="20"/>
        </w:rPr>
        <w:t>)</w:t>
      </w:r>
      <w:r w:rsidR="00F37C26">
        <w:rPr>
          <w:rFonts w:ascii="Arial" w:hAnsi="Arial" w:cs="Arial"/>
          <w:color w:val="000000"/>
          <w:sz w:val="20"/>
          <w:szCs w:val="20"/>
        </w:rPr>
        <w:t xml:space="preserve"> per </w:t>
      </w:r>
      <w:r w:rsidR="00F37C26" w:rsidRPr="00915560">
        <w:rPr>
          <w:rFonts w:ascii="Arial" w:hAnsi="Arial" w:cs="Arial"/>
          <w:color w:val="000000"/>
          <w:sz w:val="20"/>
          <w:szCs w:val="20"/>
        </w:rPr>
        <w:t xml:space="preserve">gli elaborati di testo </w:t>
      </w:r>
      <w:r w:rsidR="00F37C26">
        <w:rPr>
          <w:rFonts w:ascii="Arial" w:hAnsi="Arial" w:cs="Arial"/>
          <w:color w:val="000000"/>
          <w:sz w:val="20"/>
          <w:szCs w:val="20"/>
        </w:rPr>
        <w:t xml:space="preserve">e in formato </w:t>
      </w:r>
      <w:r w:rsidRPr="00915560">
        <w:rPr>
          <w:rFonts w:ascii="Arial" w:hAnsi="Arial" w:cs="Arial"/>
          <w:color w:val="000000"/>
          <w:sz w:val="20"/>
          <w:szCs w:val="20"/>
        </w:rPr>
        <w:t>non superiore</w:t>
      </w:r>
      <w:r w:rsidR="00915560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all’A3 (</w:t>
      </w:r>
      <w:proofErr w:type="spellStart"/>
      <w:r w:rsidRPr="00915560">
        <w:rPr>
          <w:rFonts w:ascii="Arial" w:hAnsi="Arial" w:cs="Arial"/>
          <w:color w:val="000000"/>
          <w:sz w:val="20"/>
          <w:szCs w:val="20"/>
        </w:rPr>
        <w:t>max</w:t>
      </w:r>
      <w:bookmarkStart w:id="0" w:name="_GoBack"/>
      <w:bookmarkEnd w:id="0"/>
      <w:proofErr w:type="spellEnd"/>
      <w:r w:rsidRPr="00915560">
        <w:rPr>
          <w:rFonts w:ascii="Arial" w:hAnsi="Arial" w:cs="Arial"/>
          <w:color w:val="000000"/>
          <w:sz w:val="20"/>
          <w:szCs w:val="20"/>
        </w:rPr>
        <w:t xml:space="preserve"> n. 20 righe ogni facciata</w:t>
      </w:r>
      <w:r w:rsidR="00F37C26">
        <w:rPr>
          <w:rFonts w:ascii="Arial" w:hAnsi="Arial" w:cs="Arial"/>
          <w:color w:val="000000"/>
          <w:sz w:val="20"/>
          <w:szCs w:val="20"/>
        </w:rPr>
        <w:t xml:space="preserve">) </w:t>
      </w:r>
      <w:r w:rsidRPr="00915560">
        <w:rPr>
          <w:rFonts w:ascii="Arial" w:hAnsi="Arial" w:cs="Arial"/>
          <w:color w:val="000000"/>
          <w:sz w:val="20"/>
          <w:szCs w:val="20"/>
        </w:rPr>
        <w:t xml:space="preserve">per quanto riguarda </w:t>
      </w:r>
      <w:r w:rsidR="00F37C26">
        <w:rPr>
          <w:rFonts w:ascii="Arial" w:hAnsi="Arial" w:cs="Arial"/>
          <w:color w:val="000000"/>
          <w:sz w:val="20"/>
          <w:szCs w:val="20"/>
        </w:rPr>
        <w:t>gli elaborati grafici</w:t>
      </w:r>
      <w:r w:rsidRPr="00915560">
        <w:rPr>
          <w:rFonts w:ascii="Arial" w:hAnsi="Arial" w:cs="Arial"/>
          <w:color w:val="000000"/>
          <w:sz w:val="20"/>
          <w:szCs w:val="20"/>
        </w:rPr>
        <w:t>.</w:t>
      </w:r>
    </w:p>
    <w:p w:rsidR="00F37C26" w:rsidRPr="00915560" w:rsidRDefault="003A6251" w:rsidP="00F37C26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0F69D6" w:rsidRPr="00915560">
        <w:rPr>
          <w:rFonts w:ascii="Arial" w:hAnsi="Arial" w:cs="Arial"/>
          <w:color w:val="000000"/>
          <w:sz w:val="20"/>
          <w:szCs w:val="20"/>
        </w:rPr>
        <w:t xml:space="preserve">Per ciascuno dei rimanenti </w:t>
      </w:r>
      <w:proofErr w:type="spellStart"/>
      <w:r w:rsidR="000F69D6" w:rsidRPr="00915560">
        <w:rPr>
          <w:rFonts w:ascii="Arial" w:hAnsi="Arial" w:cs="Arial"/>
          <w:color w:val="000000"/>
          <w:sz w:val="20"/>
          <w:szCs w:val="20"/>
        </w:rPr>
        <w:t>subcriteri</w:t>
      </w:r>
      <w:proofErr w:type="spellEnd"/>
      <w:r w:rsidR="000F69D6" w:rsidRPr="00915560">
        <w:rPr>
          <w:rFonts w:ascii="Arial" w:hAnsi="Arial" w:cs="Arial"/>
          <w:color w:val="000000"/>
          <w:sz w:val="20"/>
          <w:szCs w:val="20"/>
        </w:rPr>
        <w:t xml:space="preserve"> il paragrafo deve essere costituito complessivamente da un numero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F69D6" w:rsidRPr="00915560">
        <w:rPr>
          <w:rFonts w:ascii="Arial" w:hAnsi="Arial" w:cs="Arial"/>
          <w:color w:val="000000"/>
          <w:sz w:val="20"/>
          <w:szCs w:val="20"/>
        </w:rPr>
        <w:t xml:space="preserve">massimo di 3 (tre) singole facciate di pagine in formato </w:t>
      </w:r>
      <w:r w:rsidR="00F37C26">
        <w:rPr>
          <w:rFonts w:ascii="Arial" w:hAnsi="Arial" w:cs="Arial"/>
          <w:color w:val="000000"/>
          <w:sz w:val="20"/>
          <w:szCs w:val="20"/>
        </w:rPr>
        <w:t>A4 (</w:t>
      </w:r>
      <w:proofErr w:type="spellStart"/>
      <w:r w:rsidR="00F37C26" w:rsidRPr="00915560">
        <w:rPr>
          <w:rFonts w:ascii="Arial" w:hAnsi="Arial" w:cs="Arial"/>
          <w:color w:val="000000"/>
          <w:sz w:val="20"/>
          <w:szCs w:val="20"/>
        </w:rPr>
        <w:t>max</w:t>
      </w:r>
      <w:proofErr w:type="spellEnd"/>
      <w:r w:rsidR="00F37C26" w:rsidRPr="00915560">
        <w:rPr>
          <w:rFonts w:ascii="Arial" w:hAnsi="Arial" w:cs="Arial"/>
          <w:color w:val="000000"/>
          <w:sz w:val="20"/>
          <w:szCs w:val="20"/>
        </w:rPr>
        <w:t xml:space="preserve"> n. 20 righe ogni facciata</w:t>
      </w:r>
      <w:r w:rsidR="00601AC1">
        <w:rPr>
          <w:rFonts w:ascii="Arial" w:hAnsi="Arial" w:cs="Arial"/>
          <w:color w:val="000000"/>
          <w:sz w:val="20"/>
          <w:szCs w:val="20"/>
        </w:rPr>
        <w:t>, carattere 12</w:t>
      </w:r>
      <w:r w:rsidR="00F37C26" w:rsidRPr="00915560">
        <w:rPr>
          <w:rFonts w:ascii="Arial" w:hAnsi="Arial" w:cs="Arial"/>
          <w:color w:val="000000"/>
          <w:sz w:val="20"/>
          <w:szCs w:val="20"/>
        </w:rPr>
        <w:t>)</w:t>
      </w:r>
      <w:r w:rsidR="00F37C26">
        <w:rPr>
          <w:rFonts w:ascii="Arial" w:hAnsi="Arial" w:cs="Arial"/>
          <w:color w:val="000000"/>
          <w:sz w:val="20"/>
          <w:szCs w:val="20"/>
        </w:rPr>
        <w:t xml:space="preserve"> per </w:t>
      </w:r>
      <w:r w:rsidR="00F37C26" w:rsidRPr="00915560">
        <w:rPr>
          <w:rFonts w:ascii="Arial" w:hAnsi="Arial" w:cs="Arial"/>
          <w:color w:val="000000"/>
          <w:sz w:val="20"/>
          <w:szCs w:val="20"/>
        </w:rPr>
        <w:t xml:space="preserve">gli elaborati di testo </w:t>
      </w:r>
      <w:r w:rsidR="00F37C26">
        <w:rPr>
          <w:rFonts w:ascii="Arial" w:hAnsi="Arial" w:cs="Arial"/>
          <w:color w:val="000000"/>
          <w:sz w:val="20"/>
          <w:szCs w:val="20"/>
        </w:rPr>
        <w:t>e</w:t>
      </w:r>
      <w:r w:rsidR="00F37C26" w:rsidRPr="00F37C26">
        <w:rPr>
          <w:rFonts w:ascii="Arial" w:hAnsi="Arial" w:cs="Arial"/>
          <w:color w:val="000000"/>
          <w:sz w:val="20"/>
          <w:szCs w:val="20"/>
        </w:rPr>
        <w:t xml:space="preserve"> </w:t>
      </w:r>
      <w:r w:rsidR="00F37C26">
        <w:rPr>
          <w:rFonts w:ascii="Arial" w:hAnsi="Arial" w:cs="Arial"/>
          <w:color w:val="000000"/>
          <w:sz w:val="20"/>
          <w:szCs w:val="20"/>
        </w:rPr>
        <w:t xml:space="preserve">in formato </w:t>
      </w:r>
      <w:r w:rsidR="00F37C26" w:rsidRPr="00915560">
        <w:rPr>
          <w:rFonts w:ascii="Arial" w:hAnsi="Arial" w:cs="Arial"/>
          <w:color w:val="000000"/>
          <w:sz w:val="20"/>
          <w:szCs w:val="20"/>
        </w:rPr>
        <w:t>non superiore all’A3 (</w:t>
      </w:r>
      <w:proofErr w:type="spellStart"/>
      <w:r w:rsidR="00F37C26" w:rsidRPr="00915560">
        <w:rPr>
          <w:rFonts w:ascii="Arial" w:hAnsi="Arial" w:cs="Arial"/>
          <w:color w:val="000000"/>
          <w:sz w:val="20"/>
          <w:szCs w:val="20"/>
        </w:rPr>
        <w:t>max</w:t>
      </w:r>
      <w:proofErr w:type="spellEnd"/>
      <w:r w:rsidR="00F37C26" w:rsidRPr="00915560">
        <w:rPr>
          <w:rFonts w:ascii="Arial" w:hAnsi="Arial" w:cs="Arial"/>
          <w:color w:val="000000"/>
          <w:sz w:val="20"/>
          <w:szCs w:val="20"/>
        </w:rPr>
        <w:t xml:space="preserve"> n. 20 righe ogni facciata</w:t>
      </w:r>
      <w:r w:rsidR="00F37C26">
        <w:rPr>
          <w:rFonts w:ascii="Arial" w:hAnsi="Arial" w:cs="Arial"/>
          <w:color w:val="000000"/>
          <w:sz w:val="20"/>
          <w:szCs w:val="20"/>
        </w:rPr>
        <w:t xml:space="preserve">) </w:t>
      </w:r>
      <w:r w:rsidR="00F37C26" w:rsidRPr="00915560">
        <w:rPr>
          <w:rFonts w:ascii="Arial" w:hAnsi="Arial" w:cs="Arial"/>
          <w:color w:val="000000"/>
          <w:sz w:val="20"/>
          <w:szCs w:val="20"/>
        </w:rPr>
        <w:t xml:space="preserve">per quanto riguarda </w:t>
      </w:r>
      <w:r w:rsidR="00F37C26">
        <w:rPr>
          <w:rFonts w:ascii="Arial" w:hAnsi="Arial" w:cs="Arial"/>
          <w:color w:val="000000"/>
          <w:sz w:val="20"/>
          <w:szCs w:val="20"/>
        </w:rPr>
        <w:t>gli elaborati grafici</w:t>
      </w:r>
      <w:r w:rsidR="00F37C26" w:rsidRPr="00915560">
        <w:rPr>
          <w:rFonts w:ascii="Arial" w:hAnsi="Arial" w:cs="Arial"/>
          <w:color w:val="000000"/>
          <w:sz w:val="20"/>
          <w:szCs w:val="20"/>
        </w:rPr>
        <w:t>.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Non saranno computati, le copertine, gli indici, i sommari e le eventuali certificazioni di organismi indipendenti</w:t>
      </w:r>
      <w:r w:rsidR="00CF310F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allegati alle relazioni.</w:t>
      </w:r>
    </w:p>
    <w:p w:rsidR="00F37C26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Nessun compenso aggiuntivo rispetto alla base d’asta verrà riconosciuto ai concorrenti in relazione alle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 xml:space="preserve">proposte presentate come soluzioni migliorative o integrazioni </w:t>
      </w:r>
      <w:r w:rsidR="00F37C26">
        <w:rPr>
          <w:rFonts w:ascii="Arial" w:hAnsi="Arial" w:cs="Arial"/>
          <w:color w:val="000000"/>
          <w:sz w:val="20"/>
          <w:szCs w:val="20"/>
        </w:rPr>
        <w:t xml:space="preserve">presenti nelle offerte tecniche. </w:t>
      </w:r>
    </w:p>
    <w:p w:rsidR="00F37C26" w:rsidRDefault="00F37C2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Nella busta “</w:t>
      </w:r>
      <w:r w:rsidRPr="00915560">
        <w:rPr>
          <w:rFonts w:ascii="Arial" w:hAnsi="Arial" w:cs="Arial"/>
          <w:b/>
          <w:bCs/>
          <w:color w:val="000000"/>
          <w:sz w:val="20"/>
          <w:szCs w:val="20"/>
        </w:rPr>
        <w:t>C – OFFERTA ECONOMICA</w:t>
      </w:r>
      <w:r w:rsidRPr="00915560">
        <w:rPr>
          <w:rFonts w:ascii="Arial" w:hAnsi="Arial" w:cs="Arial"/>
          <w:color w:val="000000"/>
          <w:sz w:val="20"/>
          <w:szCs w:val="20"/>
        </w:rPr>
        <w:t>” deve essere contenuta a pena di esclusione l’offerta economica,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predisposta secondo il modello allegato.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L’offerta deve indicare il ribasso percentuale in cifre e in lettere sull’importo a base di gara di €</w:t>
      </w:r>
      <w:r w:rsidR="00614B61">
        <w:rPr>
          <w:rFonts w:ascii="Arial" w:hAnsi="Arial" w:cs="Arial"/>
          <w:color w:val="000000"/>
          <w:sz w:val="20"/>
          <w:szCs w:val="20"/>
        </w:rPr>
        <w:t xml:space="preserve"> </w:t>
      </w:r>
      <w:r w:rsidR="00855762">
        <w:rPr>
          <w:rFonts w:ascii="Arial" w:hAnsi="Arial" w:cs="Arial"/>
          <w:sz w:val="20"/>
          <w:szCs w:val="20"/>
        </w:rPr>
        <w:t>43.348,00 IVA ed oneri esclusi</w:t>
      </w:r>
      <w:r w:rsidRPr="00915560">
        <w:rPr>
          <w:rFonts w:ascii="Arial" w:hAnsi="Arial" w:cs="Arial"/>
          <w:color w:val="000000"/>
          <w:sz w:val="20"/>
          <w:szCs w:val="20"/>
        </w:rPr>
        <w:t>.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II concorrente è tenuto, altresì, ad indicare la stima dei costi interni relativi alla sicurezza a norma dell’art. 97,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 xml:space="preserve">comma 10 del d. </w:t>
      </w:r>
      <w:proofErr w:type="spellStart"/>
      <w:r w:rsidRPr="00915560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915560">
        <w:rPr>
          <w:rFonts w:ascii="Arial" w:hAnsi="Arial" w:cs="Arial"/>
          <w:color w:val="000000"/>
          <w:sz w:val="20"/>
          <w:szCs w:val="20"/>
        </w:rPr>
        <w:t>. 50/2016.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Non sono ammesse offerte condizionate, pari o in aumento.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L’offerta economica deve essere sottoscritta dal legale rappresentante della ditta concorrente. Nel caso di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concorrente costituito da raggruppamento temporaneo o da un consorzio non ancora costituiti, da tutti i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soggetti del costituendo raggruppamento o consorzio, nel caso di società di ingegneria e di professionisti, dal</w:t>
      </w:r>
      <w:r w:rsidR="00CF310F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legale rappresentante della società.</w:t>
      </w:r>
    </w:p>
    <w:p w:rsidR="000F69D6" w:rsidRPr="00915560" w:rsidRDefault="000F69D6" w:rsidP="00CF3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F310F" w:rsidRPr="00915560" w:rsidRDefault="00CF310F" w:rsidP="00CF3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D6960" w:rsidRDefault="00AD6960" w:rsidP="000F69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15560">
        <w:rPr>
          <w:rFonts w:ascii="Arial" w:hAnsi="Arial" w:cs="Arial"/>
          <w:b/>
          <w:bCs/>
          <w:color w:val="000000"/>
          <w:sz w:val="20"/>
          <w:szCs w:val="20"/>
        </w:rPr>
        <w:t>ART. 11 – CONTRIBUTO OBBLIGATORIO A FAVORE DELL’AUTORITA’ NAZIONALE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15560">
        <w:rPr>
          <w:rFonts w:ascii="Arial" w:hAnsi="Arial" w:cs="Arial"/>
          <w:b/>
          <w:bCs/>
          <w:color w:val="000000"/>
          <w:sz w:val="20"/>
          <w:szCs w:val="20"/>
        </w:rPr>
        <w:t>ANTICORRUZIONE – A.N.A.C.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La presente gara, in ragione dell’importo a base d’asta, è esclusa dal pagamento del contributo in favore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dell’A.N.A.C..</w:t>
      </w:r>
    </w:p>
    <w:p w:rsidR="00CF310F" w:rsidRPr="00915560" w:rsidRDefault="00CF310F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15560">
        <w:rPr>
          <w:rFonts w:ascii="Arial" w:hAnsi="Arial" w:cs="Arial"/>
          <w:b/>
          <w:bCs/>
          <w:color w:val="000000"/>
          <w:sz w:val="20"/>
          <w:szCs w:val="20"/>
        </w:rPr>
        <w:t>Art. 12- CHIARIMENTI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Sarà possibile da parte dei concorrenti ottenere chiarimenti in ordine alla presente procedura mediante la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proposizione di quesiti scritti da inviare via PEC</w:t>
      </w:r>
      <w:r w:rsidR="009F1D07" w:rsidRPr="00915560">
        <w:rPr>
          <w:rFonts w:ascii="Arial" w:hAnsi="Arial" w:cs="Arial"/>
          <w:color w:val="000000"/>
          <w:sz w:val="20"/>
          <w:szCs w:val="20"/>
        </w:rPr>
        <w:t xml:space="preserve"> al Comune di Terni a </w:t>
      </w:r>
      <w:hyperlink r:id="rId9" w:history="1">
        <w:r w:rsidR="009F1D07" w:rsidRPr="00915560">
          <w:rPr>
            <w:rStyle w:val="Collegamentoipertestuale"/>
            <w:rFonts w:ascii="Arial" w:hAnsi="Arial" w:cs="Arial"/>
            <w:sz w:val="20"/>
            <w:szCs w:val="20"/>
          </w:rPr>
          <w:t>comune.terni@postacert.umbria.it</w:t>
        </w:r>
      </w:hyperlink>
      <w:r w:rsidR="009F1D07" w:rsidRPr="0091556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15560">
        <w:rPr>
          <w:rFonts w:ascii="Arial" w:hAnsi="Arial" w:cs="Arial"/>
          <w:color w:val="000000"/>
          <w:sz w:val="20"/>
          <w:szCs w:val="20"/>
        </w:rPr>
        <w:t>e per conoscenza agli indirizzi mail dei referenti</w:t>
      </w:r>
      <w:r w:rsidR="00CF310F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(</w:t>
      </w:r>
      <w:r w:rsidR="00CF310F" w:rsidRPr="00915560">
        <w:rPr>
          <w:rFonts w:ascii="Arial" w:hAnsi="Arial" w:cs="Arial"/>
          <w:color w:val="0000FF"/>
          <w:sz w:val="20"/>
          <w:szCs w:val="20"/>
        </w:rPr>
        <w:t>renato.pierdonati</w:t>
      </w:r>
      <w:r w:rsidRPr="00915560">
        <w:rPr>
          <w:rFonts w:ascii="Arial" w:hAnsi="Arial" w:cs="Arial"/>
          <w:color w:val="0000FF"/>
          <w:sz w:val="20"/>
          <w:szCs w:val="20"/>
        </w:rPr>
        <w:t>@comune.</w:t>
      </w:r>
      <w:r w:rsidR="00CF310F" w:rsidRPr="00915560">
        <w:rPr>
          <w:rFonts w:ascii="Arial" w:hAnsi="Arial" w:cs="Arial"/>
          <w:color w:val="0000FF"/>
          <w:sz w:val="20"/>
          <w:szCs w:val="20"/>
        </w:rPr>
        <w:t>terni</w:t>
      </w:r>
      <w:r w:rsidRPr="00915560">
        <w:rPr>
          <w:rFonts w:ascii="Arial" w:hAnsi="Arial" w:cs="Arial"/>
          <w:color w:val="0000FF"/>
          <w:sz w:val="20"/>
          <w:szCs w:val="20"/>
        </w:rPr>
        <w:t>.it</w:t>
      </w:r>
      <w:r w:rsidRPr="00915560">
        <w:rPr>
          <w:rFonts w:ascii="Arial" w:hAnsi="Arial" w:cs="Arial"/>
          <w:color w:val="000000"/>
          <w:sz w:val="20"/>
          <w:szCs w:val="20"/>
        </w:rPr>
        <w:t xml:space="preserve">; </w:t>
      </w:r>
      <w:r w:rsidR="00AD6960">
        <w:rPr>
          <w:rFonts w:ascii="Arial" w:hAnsi="Arial" w:cs="Arial"/>
          <w:color w:val="000000"/>
          <w:sz w:val="20"/>
          <w:szCs w:val="20"/>
        </w:rPr>
        <w:t>w</w:t>
      </w:r>
      <w:r w:rsidR="00CF310F" w:rsidRPr="00915560">
        <w:rPr>
          <w:rFonts w:ascii="Arial" w:hAnsi="Arial" w:cs="Arial"/>
          <w:color w:val="0000FF"/>
          <w:sz w:val="20"/>
          <w:szCs w:val="20"/>
        </w:rPr>
        <w:t>alter.giammari</w:t>
      </w:r>
      <w:r w:rsidRPr="00915560">
        <w:rPr>
          <w:rFonts w:ascii="Arial" w:hAnsi="Arial" w:cs="Arial"/>
          <w:color w:val="0000FF"/>
          <w:sz w:val="20"/>
          <w:szCs w:val="20"/>
        </w:rPr>
        <w:t>@comune.</w:t>
      </w:r>
      <w:r w:rsidR="009F1D07" w:rsidRPr="00915560">
        <w:rPr>
          <w:rFonts w:ascii="Arial" w:hAnsi="Arial" w:cs="Arial"/>
          <w:color w:val="0000FF"/>
          <w:sz w:val="20"/>
          <w:szCs w:val="20"/>
        </w:rPr>
        <w:t>terni</w:t>
      </w:r>
      <w:r w:rsidRPr="00915560">
        <w:rPr>
          <w:rFonts w:ascii="Arial" w:hAnsi="Arial" w:cs="Arial"/>
          <w:color w:val="0000FF"/>
          <w:sz w:val="20"/>
          <w:szCs w:val="20"/>
        </w:rPr>
        <w:t xml:space="preserve">.it </w:t>
      </w:r>
      <w:r w:rsidRPr="00915560">
        <w:rPr>
          <w:rFonts w:ascii="Arial" w:hAnsi="Arial" w:cs="Arial"/>
          <w:color w:val="000000"/>
          <w:sz w:val="20"/>
          <w:szCs w:val="20"/>
        </w:rPr>
        <w:t>), entro e non oltre 10 giorni prima della data di</w:t>
      </w:r>
      <w:r w:rsidR="009F1D07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scadenza per la presentazione delle offerte.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Non saranno fornite risposte ai quesiti pervenuti successivamente al termine sopra indicato per la loro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formulazione.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Ai quesiti si provvederà a dare risposta scritta a mezzo posta elettronica certificata e, se di interesse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generale, ad informare tutti i partecipanti alla gara, attraverso la pubblicazione in forma anonima del quesito e</w:t>
      </w:r>
      <w:r w:rsidR="009F1D07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della relativa risposta nella sezione FAQ della pagina relativa al bando.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Gli operatori economici interessati sono pertanto invitati a visionare periodicamente la sezione bandi sul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 xml:space="preserve">profilo internet dell’Ente, per controllare ed esaminare il contenuto </w:t>
      </w:r>
      <w:r w:rsidR="00F37C26">
        <w:rPr>
          <w:rFonts w:ascii="Arial" w:hAnsi="Arial" w:cs="Arial"/>
          <w:color w:val="000000"/>
          <w:sz w:val="20"/>
          <w:szCs w:val="20"/>
        </w:rPr>
        <w:t xml:space="preserve">di eventuali </w:t>
      </w:r>
      <w:r w:rsidRPr="00915560">
        <w:rPr>
          <w:rFonts w:ascii="Arial" w:hAnsi="Arial" w:cs="Arial"/>
          <w:color w:val="000000"/>
          <w:sz w:val="20"/>
          <w:szCs w:val="20"/>
        </w:rPr>
        <w:t>chiarimenti.</w:t>
      </w:r>
    </w:p>
    <w:p w:rsidR="009F1D07" w:rsidRDefault="009F1D07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230FA" w:rsidRPr="00915560" w:rsidRDefault="002230FA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D6960" w:rsidRDefault="00AD6960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1556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ART. 13 - ALTRE INFORMAZIONI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color w:val="000000"/>
          <w:sz w:val="20"/>
          <w:szCs w:val="20"/>
        </w:rPr>
        <w:t>Si precisa che si applicheranno le seguenti disposizioni.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b/>
          <w:bCs/>
          <w:color w:val="000000"/>
          <w:sz w:val="20"/>
          <w:szCs w:val="20"/>
        </w:rPr>
        <w:t>a)</w:t>
      </w:r>
      <w:r w:rsidR="003A625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15560">
        <w:rPr>
          <w:rFonts w:ascii="Arial" w:hAnsi="Arial" w:cs="Arial"/>
          <w:color w:val="000000"/>
          <w:sz w:val="20"/>
          <w:szCs w:val="20"/>
        </w:rPr>
        <w:t>Alla gara possono presentare offerta gli operatori economici di cui agli articoli 45 e 46, anche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appositamente e temporaneamente raggruppati, ai sensi degli articoli 46 e 48 del d.lgs. n. 50/2016, in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possesso dei requisiti di cui all’art. 80 del predetto decreto. E' fatto divieto ai concorrenti di partecipare alla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gara in più di un raggruppamento temporaneo o consorzio ordinario di concorrenti, ovvero di partecipare alla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gara anche in forma individuale qualora abbia partecipato alla gara medesima in raggruppamento o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consorzio ordinario di concorrenti.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I consorzi di cui all'articolo 45, comma 2, lettere b) e c), sono tenuti ad indicare, in sede di offerta, per quali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consorziati il consorzio concorre; a questi ultimi è fatto divieto di partecipare in qualsiasi altra forma alla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medesima gara, pena l’esclusione</w:t>
      </w:r>
      <w:r w:rsidR="003A6251">
        <w:rPr>
          <w:rFonts w:ascii="Arial" w:hAnsi="Arial" w:cs="Arial"/>
          <w:color w:val="000000"/>
          <w:sz w:val="20"/>
          <w:szCs w:val="20"/>
        </w:rPr>
        <w:t>;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b/>
          <w:bCs/>
          <w:color w:val="000000"/>
          <w:sz w:val="20"/>
          <w:szCs w:val="20"/>
        </w:rPr>
        <w:t xml:space="preserve">b) </w:t>
      </w:r>
      <w:r w:rsidRPr="00915560">
        <w:rPr>
          <w:rFonts w:ascii="Arial" w:hAnsi="Arial" w:cs="Arial"/>
          <w:color w:val="000000"/>
          <w:sz w:val="20"/>
          <w:szCs w:val="20"/>
        </w:rPr>
        <w:t>la stazione appaltante si riserva di escludere dalla gara i concorrenti per i quali accerti che le relative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offerte siano imputabili ad un unico centro decisionale, sulla base di univoci elementi;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b/>
          <w:bCs/>
          <w:color w:val="000000"/>
          <w:sz w:val="20"/>
          <w:szCs w:val="20"/>
        </w:rPr>
        <w:t xml:space="preserve">c) </w:t>
      </w:r>
      <w:r w:rsidRPr="00915560">
        <w:rPr>
          <w:rFonts w:ascii="Arial" w:hAnsi="Arial" w:cs="Arial"/>
          <w:color w:val="000000"/>
          <w:sz w:val="20"/>
          <w:szCs w:val="20"/>
        </w:rPr>
        <w:t>la stazione appaltante si riserva di valutare a suo insindacabile giudizio, la congruità dell’offerta ai sensi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del comma 6 ultimo periodo dell’art. 97 del d.lgs. 50/2016</w:t>
      </w:r>
      <w:r w:rsidR="003A6251">
        <w:rPr>
          <w:rFonts w:ascii="Arial" w:hAnsi="Arial" w:cs="Arial"/>
          <w:color w:val="000000"/>
          <w:sz w:val="20"/>
          <w:szCs w:val="20"/>
        </w:rPr>
        <w:t>;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b/>
          <w:bCs/>
          <w:color w:val="000000"/>
          <w:sz w:val="20"/>
          <w:szCs w:val="20"/>
        </w:rPr>
        <w:t xml:space="preserve">d) </w:t>
      </w:r>
      <w:r w:rsidRPr="00915560">
        <w:rPr>
          <w:rFonts w:ascii="Arial" w:hAnsi="Arial" w:cs="Arial"/>
          <w:color w:val="000000"/>
          <w:sz w:val="20"/>
          <w:szCs w:val="20"/>
        </w:rPr>
        <w:t>si procederà all’aggiudicazione anche in presenza di una sola offerta valida sempre che sia ritenuta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congrua e conveniente</w:t>
      </w:r>
      <w:r w:rsidR="003A6251">
        <w:rPr>
          <w:rFonts w:ascii="Arial" w:hAnsi="Arial" w:cs="Arial"/>
          <w:color w:val="000000"/>
          <w:sz w:val="20"/>
          <w:szCs w:val="20"/>
        </w:rPr>
        <w:t>;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b/>
          <w:bCs/>
          <w:color w:val="000000"/>
          <w:sz w:val="20"/>
          <w:szCs w:val="20"/>
        </w:rPr>
        <w:t xml:space="preserve">e) </w:t>
      </w:r>
      <w:r w:rsidRPr="00915560">
        <w:rPr>
          <w:rFonts w:ascii="Arial" w:hAnsi="Arial" w:cs="Arial"/>
          <w:color w:val="000000"/>
          <w:sz w:val="20"/>
          <w:szCs w:val="20"/>
        </w:rPr>
        <w:t>Non sono ammesse offerte condizionate o espresse in modo indeterminato, i</w:t>
      </w:r>
      <w:r w:rsidR="003A6251">
        <w:rPr>
          <w:rFonts w:ascii="Arial" w:hAnsi="Arial" w:cs="Arial"/>
          <w:color w:val="000000"/>
          <w:sz w:val="20"/>
          <w:szCs w:val="20"/>
        </w:rPr>
        <w:t>ncomplete o parziali, in rialzo;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Pr="00915560">
        <w:rPr>
          <w:rFonts w:ascii="Arial" w:hAnsi="Arial" w:cs="Arial"/>
          <w:color w:val="000000"/>
          <w:sz w:val="20"/>
          <w:szCs w:val="20"/>
        </w:rPr>
        <w:t xml:space="preserve">) </w:t>
      </w:r>
      <w:r w:rsidR="003A6251">
        <w:rPr>
          <w:rFonts w:ascii="Arial" w:hAnsi="Arial" w:cs="Arial"/>
          <w:color w:val="000000"/>
          <w:sz w:val="20"/>
          <w:szCs w:val="20"/>
        </w:rPr>
        <w:tab/>
      </w:r>
      <w:r w:rsidRPr="00915560">
        <w:rPr>
          <w:rFonts w:ascii="Arial" w:hAnsi="Arial" w:cs="Arial"/>
          <w:color w:val="000000"/>
          <w:sz w:val="20"/>
          <w:szCs w:val="20"/>
        </w:rPr>
        <w:t>in caso di offerte uguali si procederà per sorteggio;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b/>
          <w:bCs/>
          <w:color w:val="000000"/>
          <w:sz w:val="20"/>
          <w:szCs w:val="20"/>
        </w:rPr>
        <w:t>g</w:t>
      </w:r>
      <w:r w:rsidRPr="00915560">
        <w:rPr>
          <w:rFonts w:ascii="Arial" w:hAnsi="Arial" w:cs="Arial"/>
          <w:color w:val="000000"/>
          <w:sz w:val="20"/>
          <w:szCs w:val="20"/>
        </w:rPr>
        <w:t xml:space="preserve">) </w:t>
      </w:r>
      <w:r w:rsidR="003A6251">
        <w:rPr>
          <w:rFonts w:ascii="Arial" w:hAnsi="Arial" w:cs="Arial"/>
          <w:color w:val="000000"/>
          <w:sz w:val="20"/>
          <w:szCs w:val="20"/>
        </w:rPr>
        <w:tab/>
      </w:r>
      <w:r w:rsidRPr="00915560">
        <w:rPr>
          <w:rFonts w:ascii="Arial" w:hAnsi="Arial" w:cs="Arial"/>
          <w:color w:val="000000"/>
          <w:sz w:val="20"/>
          <w:szCs w:val="20"/>
        </w:rPr>
        <w:t>l’offerta è valida per 180 giorni dalla data di presentazione dell’offerta</w:t>
      </w:r>
      <w:r w:rsidR="003A6251">
        <w:rPr>
          <w:rFonts w:ascii="Arial" w:hAnsi="Arial" w:cs="Arial"/>
          <w:color w:val="000000"/>
          <w:sz w:val="20"/>
          <w:szCs w:val="20"/>
        </w:rPr>
        <w:t>;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b/>
          <w:bCs/>
          <w:color w:val="000000"/>
          <w:sz w:val="20"/>
          <w:szCs w:val="20"/>
        </w:rPr>
        <w:t>h)</w:t>
      </w:r>
      <w:r w:rsidR="003A625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A6251" w:rsidRPr="003A6251">
        <w:rPr>
          <w:rFonts w:ascii="Arial" w:hAnsi="Arial" w:cs="Arial"/>
          <w:bCs/>
          <w:color w:val="000000"/>
          <w:sz w:val="20"/>
          <w:szCs w:val="20"/>
        </w:rPr>
        <w:t>l</w:t>
      </w:r>
      <w:r w:rsidRPr="00915560">
        <w:rPr>
          <w:rFonts w:ascii="Arial" w:hAnsi="Arial" w:cs="Arial"/>
          <w:color w:val="000000"/>
          <w:sz w:val="20"/>
          <w:szCs w:val="20"/>
        </w:rPr>
        <w:t>e carenze di qualsiasi elemento formale della domanda possono essere sanate attraverso la procedura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 xml:space="preserve">del “soccorso istruttorio” di cui all’art. 83, comma 9 del D. </w:t>
      </w:r>
      <w:proofErr w:type="spellStart"/>
      <w:r w:rsidRPr="00915560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915560">
        <w:rPr>
          <w:rFonts w:ascii="Arial" w:hAnsi="Arial" w:cs="Arial"/>
          <w:color w:val="000000"/>
          <w:sz w:val="20"/>
          <w:szCs w:val="20"/>
        </w:rPr>
        <w:t>. 50/2016</w:t>
      </w:r>
      <w:r w:rsidRPr="00915560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915560">
        <w:rPr>
          <w:rFonts w:ascii="Arial" w:hAnsi="Arial" w:cs="Arial"/>
          <w:color w:val="000000"/>
          <w:sz w:val="20"/>
          <w:szCs w:val="20"/>
        </w:rPr>
        <w:t>In particolare, la mancanza,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l'incompletezza e ogni altra irregolarità essenziale degli elementi e delle dichiarazioni sostitutive obbliga il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concorrente che vi ha dato causa al pagamento, in favore della stazione appaltante, della sanzione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pecuniaria, ai sensi dell’art. 83 comma 9 del D.L.vo 50/2016, in misura pari all'1 per mille del valore della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gara. In tal caso, la stazione appaltante assegna al concorrente un termine di cinque giorni perché siano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rese, integrate o regolarizzate le dichiarazioni necessarie, indicandone il contenuto e i soggetti che le devono</w:t>
      </w:r>
      <w:r w:rsidR="009F1D07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rendere, da presentare contestualmente al documento comprovante l’avvenuto pagamento della sanzione, a</w:t>
      </w:r>
      <w:r w:rsidR="009F1D07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pena di esclusione . In caso di inutile decorso del termine di cui sopra il concorrente è escluso dalla gara. Nei</w:t>
      </w:r>
      <w:r w:rsidR="009F1D07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casi di irregolarità formali ovvero di mancanza o incompletezza di dichiarazioni non essenziali, verrà richiesta</w:t>
      </w:r>
      <w:r w:rsidR="009F1D07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la regolarizzazione se</w:t>
      </w:r>
      <w:r w:rsidR="003A6251">
        <w:rPr>
          <w:rFonts w:ascii="Arial" w:hAnsi="Arial" w:cs="Arial"/>
          <w:color w:val="000000"/>
          <w:sz w:val="20"/>
          <w:szCs w:val="20"/>
        </w:rPr>
        <w:t>nza applicazione della sanzione;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b/>
          <w:bCs/>
          <w:color w:val="000000"/>
          <w:sz w:val="20"/>
          <w:szCs w:val="20"/>
        </w:rPr>
        <w:t xml:space="preserve">i) </w:t>
      </w:r>
      <w:r w:rsidR="003A625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15560">
        <w:rPr>
          <w:rFonts w:ascii="Arial" w:hAnsi="Arial" w:cs="Arial"/>
          <w:color w:val="000000"/>
          <w:sz w:val="20"/>
          <w:szCs w:val="20"/>
        </w:rPr>
        <w:t>la verifica del possesso dei requisiti di carattere generale tecnico – organizzativo ed economico –</w:t>
      </w:r>
      <w:r w:rsidR="003A6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finanziario avverrà esclusivamente, ai sensi del comma 13 dell’art. 216 del D.lgs. 50/2016, attraverso l’utilizzo</w:t>
      </w:r>
      <w:r w:rsidR="009F1D07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 xml:space="preserve">della banca dati </w:t>
      </w:r>
      <w:proofErr w:type="spellStart"/>
      <w:r w:rsidRPr="00915560">
        <w:rPr>
          <w:rFonts w:ascii="Arial" w:hAnsi="Arial" w:cs="Arial"/>
          <w:color w:val="000000"/>
          <w:sz w:val="20"/>
          <w:szCs w:val="20"/>
        </w:rPr>
        <w:t>AVCpass</w:t>
      </w:r>
      <w:proofErr w:type="spellEnd"/>
      <w:r w:rsidRPr="00915560">
        <w:rPr>
          <w:rFonts w:ascii="Arial" w:hAnsi="Arial" w:cs="Arial"/>
          <w:color w:val="000000"/>
          <w:sz w:val="20"/>
          <w:szCs w:val="20"/>
        </w:rPr>
        <w:t>, istituita presso l’ANAC. Pertanto, tutti i concorrenti devono obbligatoriamente,</w:t>
      </w:r>
      <w:r w:rsidR="009F1D07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 xml:space="preserve">registrarsi al sistema </w:t>
      </w:r>
      <w:proofErr w:type="spellStart"/>
      <w:r w:rsidRPr="00915560">
        <w:rPr>
          <w:rFonts w:ascii="Arial" w:hAnsi="Arial" w:cs="Arial"/>
          <w:color w:val="000000"/>
          <w:sz w:val="20"/>
          <w:szCs w:val="20"/>
        </w:rPr>
        <w:t>AVCpass</w:t>
      </w:r>
      <w:proofErr w:type="spellEnd"/>
      <w:r w:rsidRPr="00915560">
        <w:rPr>
          <w:rFonts w:ascii="Arial" w:hAnsi="Arial" w:cs="Arial"/>
          <w:color w:val="000000"/>
          <w:sz w:val="20"/>
          <w:szCs w:val="20"/>
        </w:rPr>
        <w:t>, accedendo all’apposito link sul portale dell’ANAC (servizi ad accesso</w:t>
      </w:r>
      <w:r w:rsidR="009F1D07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 xml:space="preserve">riservato </w:t>
      </w:r>
      <w:proofErr w:type="spellStart"/>
      <w:r w:rsidRPr="00915560">
        <w:rPr>
          <w:rFonts w:ascii="Arial" w:hAnsi="Arial" w:cs="Arial"/>
          <w:color w:val="000000"/>
          <w:sz w:val="20"/>
          <w:szCs w:val="20"/>
        </w:rPr>
        <w:t>AVCpass</w:t>
      </w:r>
      <w:proofErr w:type="spellEnd"/>
      <w:r w:rsidRPr="00915560">
        <w:rPr>
          <w:rFonts w:ascii="Arial" w:hAnsi="Arial" w:cs="Arial"/>
          <w:color w:val="000000"/>
          <w:sz w:val="20"/>
          <w:szCs w:val="20"/>
        </w:rPr>
        <w:t>), secondo le istruzioni ivi contenute, nonché acquisire il documento “</w:t>
      </w:r>
      <w:proofErr w:type="spellStart"/>
      <w:r w:rsidR="00915560">
        <w:rPr>
          <w:rFonts w:ascii="Arial" w:hAnsi="Arial" w:cs="Arial"/>
          <w:color w:val="000000"/>
          <w:sz w:val="20"/>
          <w:szCs w:val="20"/>
        </w:rPr>
        <w:t>PassOE</w:t>
      </w:r>
      <w:proofErr w:type="spellEnd"/>
      <w:r w:rsidRPr="00915560">
        <w:rPr>
          <w:rFonts w:ascii="Arial" w:hAnsi="Arial" w:cs="Arial"/>
          <w:color w:val="000000"/>
          <w:sz w:val="20"/>
          <w:szCs w:val="20"/>
        </w:rPr>
        <w:t>”, da</w:t>
      </w:r>
      <w:r w:rsidR="009F1D07" w:rsidRPr="009155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60">
        <w:rPr>
          <w:rFonts w:ascii="Arial" w:hAnsi="Arial" w:cs="Arial"/>
          <w:color w:val="000000"/>
          <w:sz w:val="20"/>
          <w:szCs w:val="20"/>
        </w:rPr>
        <w:t>produrre in sede di partecipazione alla gara;</w:t>
      </w:r>
    </w:p>
    <w:p w:rsidR="000F69D6" w:rsidRPr="00915560" w:rsidRDefault="000F69D6" w:rsidP="003A62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15560">
        <w:rPr>
          <w:rFonts w:ascii="Arial" w:hAnsi="Arial" w:cs="Arial"/>
          <w:b/>
          <w:bCs/>
          <w:color w:val="000000"/>
          <w:sz w:val="20"/>
          <w:szCs w:val="20"/>
        </w:rPr>
        <w:t xml:space="preserve">l) </w:t>
      </w:r>
      <w:r w:rsidR="003A625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A6251" w:rsidRPr="003A6251">
        <w:rPr>
          <w:rFonts w:ascii="Arial" w:hAnsi="Arial" w:cs="Arial"/>
          <w:bCs/>
          <w:color w:val="000000"/>
          <w:sz w:val="20"/>
          <w:szCs w:val="20"/>
        </w:rPr>
        <w:t>t</w:t>
      </w:r>
      <w:r w:rsidRPr="00915560">
        <w:rPr>
          <w:rFonts w:ascii="Arial" w:hAnsi="Arial" w:cs="Arial"/>
          <w:color w:val="000000"/>
          <w:sz w:val="20"/>
          <w:szCs w:val="20"/>
        </w:rPr>
        <w:t>utte le comunicazioni, ad esclusione della presentazione delle offert</w:t>
      </w:r>
      <w:r w:rsidR="003A6251">
        <w:rPr>
          <w:rFonts w:ascii="Arial" w:hAnsi="Arial" w:cs="Arial"/>
          <w:color w:val="000000"/>
          <w:sz w:val="20"/>
          <w:szCs w:val="20"/>
        </w:rPr>
        <w:t>e, avvengono a mezzo PEC;</w:t>
      </w:r>
    </w:p>
    <w:p w:rsidR="000F69D6" w:rsidRDefault="000F69D6" w:rsidP="003A62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6251">
        <w:rPr>
          <w:rFonts w:ascii="Arial" w:hAnsi="Arial" w:cs="Arial"/>
          <w:b/>
          <w:bCs/>
          <w:sz w:val="20"/>
          <w:szCs w:val="20"/>
        </w:rPr>
        <w:t>m)</w:t>
      </w:r>
      <w:r w:rsidR="003A6251">
        <w:rPr>
          <w:rFonts w:ascii="Arial" w:hAnsi="Arial" w:cs="Arial"/>
          <w:b/>
          <w:bCs/>
          <w:sz w:val="20"/>
          <w:szCs w:val="20"/>
        </w:rPr>
        <w:tab/>
      </w:r>
      <w:r w:rsidR="00855762">
        <w:rPr>
          <w:rFonts w:ascii="Arial" w:hAnsi="Arial" w:cs="Arial"/>
          <w:bCs/>
          <w:sz w:val="20"/>
          <w:szCs w:val="20"/>
        </w:rPr>
        <w:t>il contratto di affidamento sarà in forma di scrittura privata. Tutte le spese ed incombenze relative al contratto (bolli, copie, registrazione etc.) sono a carico dell’affidatario.</w:t>
      </w:r>
    </w:p>
    <w:p w:rsidR="003A6251" w:rsidRPr="003A6251" w:rsidRDefault="003A6251" w:rsidP="003A62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2230FA" w:rsidRDefault="002230FA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F1D07" w:rsidRDefault="00915560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Responsabile del Procedimento è </w:t>
      </w:r>
      <w:r w:rsidR="00855762">
        <w:rPr>
          <w:rFonts w:ascii="Arial" w:hAnsi="Arial" w:cs="Arial"/>
          <w:color w:val="000000"/>
          <w:sz w:val="20"/>
          <w:szCs w:val="20"/>
        </w:rPr>
        <w:t xml:space="preserve">il Funzionario Tecnico Arch. Walter Giammari, tel. 0744.549845, e-mail </w:t>
      </w:r>
      <w:hyperlink r:id="rId10" w:history="1">
        <w:r w:rsidR="00855762" w:rsidRPr="0002244A">
          <w:rPr>
            <w:rStyle w:val="Collegamentoipertestuale"/>
            <w:rFonts w:ascii="Arial" w:hAnsi="Arial" w:cs="Arial"/>
            <w:sz w:val="20"/>
            <w:szCs w:val="20"/>
          </w:rPr>
          <w:t>walter.giammari@comune.terni.it</w:t>
        </w:r>
      </w:hyperlink>
      <w:r w:rsidR="0085576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67DA" w:rsidRDefault="00B967DA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A6251" w:rsidRDefault="00020226" w:rsidP="000202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0226">
        <w:rPr>
          <w:rFonts w:ascii="Arial" w:hAnsi="Arial" w:cs="Arial"/>
          <w:color w:val="000000"/>
          <w:sz w:val="20"/>
          <w:szCs w:val="20"/>
        </w:rPr>
        <w:t>Per informazioni o chiarimenti contattare il  Dipartimento Lavori Pubblici – Gestione del Territorio, tel.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20226">
        <w:rPr>
          <w:rFonts w:ascii="Arial" w:hAnsi="Arial" w:cs="Arial"/>
          <w:color w:val="000000"/>
          <w:sz w:val="20"/>
          <w:szCs w:val="20"/>
        </w:rPr>
        <w:t>0744.549674 – 0744.549845.</w:t>
      </w:r>
      <w:r w:rsidR="003A6251">
        <w:rPr>
          <w:rFonts w:ascii="Arial" w:hAnsi="Arial" w:cs="Arial"/>
          <w:color w:val="000000"/>
          <w:sz w:val="20"/>
          <w:szCs w:val="20"/>
        </w:rPr>
        <w:tab/>
      </w:r>
    </w:p>
    <w:p w:rsidR="002230FA" w:rsidRDefault="002230FA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20226" w:rsidRDefault="00020226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F69D6" w:rsidRDefault="003A6251" w:rsidP="003A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F69D6">
        <w:rPr>
          <w:rFonts w:ascii="Arial" w:hAnsi="Arial" w:cs="Arial"/>
          <w:color w:val="000000"/>
          <w:sz w:val="20"/>
          <w:szCs w:val="20"/>
        </w:rPr>
        <w:t>IL DIRIGENTE D</w:t>
      </w:r>
      <w:r w:rsidR="009F1D07">
        <w:rPr>
          <w:rFonts w:ascii="Arial" w:hAnsi="Arial" w:cs="Arial"/>
          <w:color w:val="000000"/>
          <w:sz w:val="20"/>
          <w:szCs w:val="20"/>
        </w:rPr>
        <w:t>EL DIPARTIMENTO LAVORI PUBBLICI – GESTIONE DEL TERRITORIO</w:t>
      </w:r>
    </w:p>
    <w:p w:rsidR="000F69D6" w:rsidRDefault="003A6251" w:rsidP="003A625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AD6960">
        <w:rPr>
          <w:rFonts w:ascii="Arial" w:hAnsi="Arial" w:cs="Arial"/>
          <w:i/>
          <w:iCs/>
          <w:color w:val="000000"/>
          <w:sz w:val="20"/>
          <w:szCs w:val="20"/>
        </w:rPr>
        <w:t>I</w:t>
      </w:r>
      <w:r w:rsidR="000F69D6">
        <w:rPr>
          <w:rFonts w:ascii="Arial" w:hAnsi="Arial" w:cs="Arial"/>
          <w:i/>
          <w:iCs/>
          <w:color w:val="000000"/>
          <w:sz w:val="20"/>
          <w:szCs w:val="20"/>
        </w:rPr>
        <w:t xml:space="preserve">ng. </w:t>
      </w:r>
      <w:r w:rsidR="009F1D07">
        <w:rPr>
          <w:rFonts w:ascii="Arial" w:hAnsi="Arial" w:cs="Arial"/>
          <w:i/>
          <w:iCs/>
          <w:color w:val="000000"/>
          <w:sz w:val="20"/>
          <w:szCs w:val="20"/>
        </w:rPr>
        <w:t>Renato Pierdonati</w:t>
      </w:r>
    </w:p>
    <w:sectPr w:rsidR="000F69D6" w:rsidSect="002230FA">
      <w:headerReference w:type="default" r:id="rId11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B19" w:rsidRDefault="004E6B19" w:rsidP="00906A81">
      <w:pPr>
        <w:spacing w:after="0" w:line="240" w:lineRule="auto"/>
      </w:pPr>
      <w:r>
        <w:separator/>
      </w:r>
    </w:p>
  </w:endnote>
  <w:endnote w:type="continuationSeparator" w:id="0">
    <w:p w:rsidR="004E6B19" w:rsidRDefault="004E6B19" w:rsidP="0090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B19" w:rsidRDefault="004E6B19" w:rsidP="00906A81">
      <w:pPr>
        <w:spacing w:after="0" w:line="240" w:lineRule="auto"/>
      </w:pPr>
      <w:r>
        <w:separator/>
      </w:r>
    </w:p>
  </w:footnote>
  <w:footnote w:type="continuationSeparator" w:id="0">
    <w:p w:rsidR="004E6B19" w:rsidRDefault="004E6B19" w:rsidP="0090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81" w:rsidRDefault="00906A8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B5"/>
    <w:multiLevelType w:val="hybridMultilevel"/>
    <w:tmpl w:val="D332DB1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2E5B"/>
    <w:multiLevelType w:val="hybridMultilevel"/>
    <w:tmpl w:val="98E64174"/>
    <w:lvl w:ilvl="0" w:tplc="F7F06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E4A70"/>
    <w:multiLevelType w:val="hybridMultilevel"/>
    <w:tmpl w:val="C07008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407D2"/>
    <w:multiLevelType w:val="hybridMultilevel"/>
    <w:tmpl w:val="591CD9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C5FF6"/>
    <w:multiLevelType w:val="hybridMultilevel"/>
    <w:tmpl w:val="0B9E1A8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83851"/>
    <w:multiLevelType w:val="hybridMultilevel"/>
    <w:tmpl w:val="76CCE8D0"/>
    <w:lvl w:ilvl="0" w:tplc="F7F06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457DF"/>
    <w:multiLevelType w:val="hybridMultilevel"/>
    <w:tmpl w:val="897AA93E"/>
    <w:lvl w:ilvl="0" w:tplc="C80AB7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1055110"/>
    <w:multiLevelType w:val="hybridMultilevel"/>
    <w:tmpl w:val="271261DA"/>
    <w:lvl w:ilvl="0" w:tplc="F7F06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C5D1E"/>
    <w:multiLevelType w:val="hybridMultilevel"/>
    <w:tmpl w:val="13AC0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7543E"/>
    <w:rsid w:val="00020226"/>
    <w:rsid w:val="00024D75"/>
    <w:rsid w:val="00042A45"/>
    <w:rsid w:val="00053BA1"/>
    <w:rsid w:val="00067ECB"/>
    <w:rsid w:val="00073749"/>
    <w:rsid w:val="000B4EC0"/>
    <w:rsid w:val="000D629F"/>
    <w:rsid w:val="000F69D6"/>
    <w:rsid w:val="00116C82"/>
    <w:rsid w:val="00135217"/>
    <w:rsid w:val="001460EF"/>
    <w:rsid w:val="0017543E"/>
    <w:rsid w:val="001764AE"/>
    <w:rsid w:val="0018586D"/>
    <w:rsid w:val="001D47EC"/>
    <w:rsid w:val="001E47E6"/>
    <w:rsid w:val="002061DA"/>
    <w:rsid w:val="002230FA"/>
    <w:rsid w:val="002277D2"/>
    <w:rsid w:val="00252752"/>
    <w:rsid w:val="002551CA"/>
    <w:rsid w:val="00270831"/>
    <w:rsid w:val="00284694"/>
    <w:rsid w:val="002E4AEB"/>
    <w:rsid w:val="00394628"/>
    <w:rsid w:val="003A6251"/>
    <w:rsid w:val="003A632D"/>
    <w:rsid w:val="003E6352"/>
    <w:rsid w:val="003F0F53"/>
    <w:rsid w:val="00403CF6"/>
    <w:rsid w:val="00420516"/>
    <w:rsid w:val="004219A2"/>
    <w:rsid w:val="004248A2"/>
    <w:rsid w:val="004661E0"/>
    <w:rsid w:val="004A7575"/>
    <w:rsid w:val="004D79F9"/>
    <w:rsid w:val="004E6B19"/>
    <w:rsid w:val="00522CC6"/>
    <w:rsid w:val="005426D4"/>
    <w:rsid w:val="00591336"/>
    <w:rsid w:val="00601AC1"/>
    <w:rsid w:val="0060222E"/>
    <w:rsid w:val="00614B61"/>
    <w:rsid w:val="00624B29"/>
    <w:rsid w:val="00651D25"/>
    <w:rsid w:val="0065386F"/>
    <w:rsid w:val="006C44BF"/>
    <w:rsid w:val="006C6D61"/>
    <w:rsid w:val="006C7DD7"/>
    <w:rsid w:val="006F293D"/>
    <w:rsid w:val="00744BFB"/>
    <w:rsid w:val="0078055A"/>
    <w:rsid w:val="0078494F"/>
    <w:rsid w:val="00793805"/>
    <w:rsid w:val="00795838"/>
    <w:rsid w:val="008122E7"/>
    <w:rsid w:val="00855762"/>
    <w:rsid w:val="00857B19"/>
    <w:rsid w:val="00894413"/>
    <w:rsid w:val="008A779D"/>
    <w:rsid w:val="008B12D1"/>
    <w:rsid w:val="008C01BA"/>
    <w:rsid w:val="008C3F2F"/>
    <w:rsid w:val="008D517C"/>
    <w:rsid w:val="008E76BB"/>
    <w:rsid w:val="00906A81"/>
    <w:rsid w:val="00915560"/>
    <w:rsid w:val="0096001C"/>
    <w:rsid w:val="0097175B"/>
    <w:rsid w:val="00984235"/>
    <w:rsid w:val="009F1D07"/>
    <w:rsid w:val="00A239E0"/>
    <w:rsid w:val="00A66ED9"/>
    <w:rsid w:val="00AB19C9"/>
    <w:rsid w:val="00AC3C97"/>
    <w:rsid w:val="00AD6960"/>
    <w:rsid w:val="00B0275F"/>
    <w:rsid w:val="00B40762"/>
    <w:rsid w:val="00B60D2C"/>
    <w:rsid w:val="00B931F8"/>
    <w:rsid w:val="00B967DA"/>
    <w:rsid w:val="00C147FA"/>
    <w:rsid w:val="00C50C0D"/>
    <w:rsid w:val="00C50F36"/>
    <w:rsid w:val="00C63112"/>
    <w:rsid w:val="00C81639"/>
    <w:rsid w:val="00C84F84"/>
    <w:rsid w:val="00CA2B34"/>
    <w:rsid w:val="00CF1B77"/>
    <w:rsid w:val="00CF310F"/>
    <w:rsid w:val="00D2276B"/>
    <w:rsid w:val="00D42A15"/>
    <w:rsid w:val="00D67E78"/>
    <w:rsid w:val="00D74BF1"/>
    <w:rsid w:val="00DB6EB7"/>
    <w:rsid w:val="00E3463E"/>
    <w:rsid w:val="00E669C6"/>
    <w:rsid w:val="00E9305E"/>
    <w:rsid w:val="00E973F8"/>
    <w:rsid w:val="00E97832"/>
    <w:rsid w:val="00EA3301"/>
    <w:rsid w:val="00EA6019"/>
    <w:rsid w:val="00EE05DB"/>
    <w:rsid w:val="00F13531"/>
    <w:rsid w:val="00F23029"/>
    <w:rsid w:val="00F31FA0"/>
    <w:rsid w:val="00F37C26"/>
    <w:rsid w:val="00F55C90"/>
    <w:rsid w:val="00F640EB"/>
    <w:rsid w:val="00F72064"/>
    <w:rsid w:val="00F7283D"/>
    <w:rsid w:val="00FC06C2"/>
    <w:rsid w:val="00FE2AD8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61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543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06A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6A81"/>
  </w:style>
  <w:style w:type="paragraph" w:styleId="Pidipagina">
    <w:name w:val="footer"/>
    <w:basedOn w:val="Normale"/>
    <w:link w:val="PidipaginaCarattere"/>
    <w:uiPriority w:val="99"/>
    <w:semiHidden/>
    <w:unhideWhenUsed/>
    <w:rsid w:val="00906A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6A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06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72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F1D07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16C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6C8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6C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6C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6C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61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543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06A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6A81"/>
  </w:style>
  <w:style w:type="paragraph" w:styleId="Pidipagina">
    <w:name w:val="footer"/>
    <w:basedOn w:val="Normale"/>
    <w:link w:val="PidipaginaCarattere"/>
    <w:uiPriority w:val="99"/>
    <w:semiHidden/>
    <w:unhideWhenUsed/>
    <w:rsid w:val="00906A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6A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06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7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1D07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16C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6C8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6C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6C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6C8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zione.it/portal/public/classic/Servizi/ServiziOnline/AVCpas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alter.giammari@comune.tern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terni@postacert.umbria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F882F-5FC6-4419-9557-2E1C58CD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4285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Bussetti Elena</dc:creator>
  <cp:lastModifiedBy>wgiammari</cp:lastModifiedBy>
  <cp:revision>8</cp:revision>
  <dcterms:created xsi:type="dcterms:W3CDTF">2017-03-29T09:14:00Z</dcterms:created>
  <dcterms:modified xsi:type="dcterms:W3CDTF">2017-04-11T12:27:00Z</dcterms:modified>
</cp:coreProperties>
</file>